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47AF" w14:textId="77777777" w:rsidR="00966B6B" w:rsidRDefault="00966B6B">
      <w:pPr>
        <w:rPr>
          <w:rFonts w:ascii="Eras Demi ITC" w:hAnsi="Eras Demi ITC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3D8594" wp14:editId="423A51D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AE9CE" w14:textId="77777777"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14:paraId="0A784687" w14:textId="77777777"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14:paraId="43364F7B" w14:textId="5ECBC57A" w:rsidR="00966B6B" w:rsidRPr="00DF5811" w:rsidRDefault="001669A5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December</w:t>
      </w:r>
      <w:r w:rsidR="00DA42F8">
        <w:rPr>
          <w:rFonts w:ascii="Eras Light ITC" w:hAnsi="Eras Light ITC"/>
          <w:color w:val="C00000"/>
          <w:sz w:val="36"/>
          <w:szCs w:val="72"/>
        </w:rPr>
        <w:t xml:space="preserve"> 2015</w:t>
      </w:r>
    </w:p>
    <w:p w14:paraId="1594027E" w14:textId="77777777"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14:paraId="6A306952" w14:textId="77777777"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14:paraId="5E456EEA" w14:textId="77777777" w:rsidR="00B66132" w:rsidRPr="007273F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14:paraId="28BCF814" w14:textId="4B193EA3" w:rsidR="00E36D51" w:rsidRDefault="001669A5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Settlement Prevents Eviction of Adult Home Residents</w:t>
      </w:r>
      <w:r>
        <w:rPr>
          <w:rFonts w:ascii="Eras Demi ITC" w:hAnsi="Eras Demi ITC"/>
          <w:bCs/>
          <w:color w:val="C00000"/>
          <w:sz w:val="28"/>
          <w:szCs w:val="28"/>
        </w:rPr>
        <w:br/>
        <w:t>Who Use Wheelchairs</w:t>
      </w:r>
    </w:p>
    <w:p w14:paraId="5D1C601B" w14:textId="77777777" w:rsidR="001669A5" w:rsidRPr="001669A5" w:rsidRDefault="001669A5" w:rsidP="00E36D51">
      <w:pPr>
        <w:pStyle w:val="owapara"/>
        <w:rPr>
          <w:rFonts w:ascii="Eras Demi ITC" w:hAnsi="Eras Demi ITC"/>
          <w:bCs/>
          <w:color w:val="C00000"/>
          <w:sz w:val="18"/>
          <w:szCs w:val="28"/>
        </w:rPr>
      </w:pPr>
    </w:p>
    <w:p w14:paraId="3FF5931B" w14:textId="20C59CA7" w:rsidR="001669A5" w:rsidRDefault="001669A5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Theme="minorHAnsi" w:hAnsiTheme="minorHAnsi" w:cs="Arial"/>
          <w:sz w:val="22"/>
          <w:szCs w:val="22"/>
        </w:rPr>
        <w:t xml:space="preserve">When four adult home residents who use wheelchairs were threatened with eviction, </w:t>
      </w:r>
      <w:r>
        <w:rPr>
          <w:rFonts w:ascii="Eras Demi ITC" w:hAnsi="Eras Demi ITC"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38A4E" wp14:editId="6EFD509A">
            <wp:simplePos x="0" y="0"/>
            <wp:positionH relativeFrom="column">
              <wp:posOffset>0</wp:posOffset>
            </wp:positionH>
            <wp:positionV relativeFrom="paragraph">
              <wp:posOffset>-341</wp:posOffset>
            </wp:positionV>
            <wp:extent cx="1018478" cy="1520532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for web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8" cy="152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2"/>
          <w:szCs w:val="22"/>
        </w:rPr>
        <w:t xml:space="preserve">the discriminatory nature of New York State’s regulations on adult homes and the regulations’ conflict with the federal Fair Housing Act came into sharp focus. </w:t>
      </w:r>
      <w:r w:rsidR="00610C43">
        <w:rPr>
          <w:rFonts w:asciiTheme="minorHAnsi" w:hAnsiTheme="minorHAnsi" w:cs="Arial"/>
          <w:sz w:val="22"/>
          <w:szCs w:val="22"/>
        </w:rPr>
        <w:t xml:space="preserve">State regulations prohibit adult homes from having residents who are “chronically </w:t>
      </w:r>
      <w:proofErr w:type="spellStart"/>
      <w:r w:rsidR="00610C43">
        <w:rPr>
          <w:rFonts w:asciiTheme="minorHAnsi" w:hAnsiTheme="minorHAnsi" w:cs="Arial"/>
          <w:sz w:val="22"/>
          <w:szCs w:val="22"/>
        </w:rPr>
        <w:t>chairfast</w:t>
      </w:r>
      <w:proofErr w:type="spellEnd"/>
      <w:r w:rsidR="00610C43">
        <w:rPr>
          <w:rFonts w:asciiTheme="minorHAnsi" w:hAnsiTheme="minorHAnsi" w:cs="Arial"/>
          <w:sz w:val="22"/>
          <w:szCs w:val="22"/>
        </w:rPr>
        <w:t xml:space="preserve">” and “unable to walk without assistance” even though people who use wheelchairs live successfully in similar settings. After a judge refused to issue a Temporary Restraining Order, the case went to mediation. The settlement calls for the home to adopt non-discrimination policies that make it clear that </w:t>
      </w:r>
      <w:r w:rsidR="003F7A7E">
        <w:rPr>
          <w:rFonts w:asciiTheme="minorHAnsi" w:hAnsiTheme="minorHAnsi" w:cs="Arial"/>
          <w:sz w:val="22"/>
          <w:szCs w:val="22"/>
        </w:rPr>
        <w:t>it does</w:t>
      </w:r>
      <w:r w:rsidR="00610C43">
        <w:rPr>
          <w:rFonts w:asciiTheme="minorHAnsi" w:hAnsiTheme="minorHAnsi" w:cs="Arial"/>
          <w:sz w:val="22"/>
          <w:szCs w:val="22"/>
        </w:rPr>
        <w:t xml:space="preserve"> not prohibit or discourage people who use wheelchairs or have other physical disabilities from living at the home, to adopt a reasonable accommodation policy that specifically includes applying for a waiver from state regulations</w:t>
      </w:r>
      <w:r w:rsidR="003F7A7E">
        <w:rPr>
          <w:rFonts w:asciiTheme="minorHAnsi" w:hAnsiTheme="minorHAnsi" w:cs="Arial"/>
          <w:sz w:val="22"/>
          <w:szCs w:val="22"/>
        </w:rPr>
        <w:t xml:space="preserve"> in similar cases</w:t>
      </w:r>
      <w:r w:rsidR="00FB2B47">
        <w:rPr>
          <w:rFonts w:asciiTheme="minorHAnsi" w:hAnsiTheme="minorHAnsi" w:cs="Arial"/>
          <w:sz w:val="22"/>
          <w:szCs w:val="22"/>
        </w:rPr>
        <w:t>, and to pay damages</w:t>
      </w:r>
      <w:r w:rsidR="00610C43">
        <w:rPr>
          <w:rFonts w:asciiTheme="minorHAnsi" w:hAnsiTheme="minorHAnsi" w:cs="Arial"/>
          <w:sz w:val="22"/>
          <w:szCs w:val="22"/>
        </w:rPr>
        <w:t>. This settlement sets an important precedent that will benefit dozens of people at the home in question and potentially thousands of people in adult homes throughout New York State.</w:t>
      </w:r>
    </w:p>
    <w:p w14:paraId="7485CE69" w14:textId="77777777" w:rsidR="00925FE9" w:rsidRPr="00AD43D9" w:rsidRDefault="00925FE9" w:rsidP="00E36D51">
      <w:pPr>
        <w:pStyle w:val="owapara"/>
        <w:rPr>
          <w:rFonts w:ascii="Eras Demi ITC" w:hAnsi="Eras Demi ITC"/>
          <w:bCs/>
          <w:color w:val="C00000"/>
          <w:sz w:val="6"/>
          <w:szCs w:val="28"/>
        </w:rPr>
      </w:pPr>
    </w:p>
    <w:p w14:paraId="0AAC4E24" w14:textId="77777777" w:rsidR="00DA42F8" w:rsidRDefault="00DA42F8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</w:p>
    <w:p w14:paraId="0D08A231" w14:textId="47DD2A4A" w:rsidR="00BB16B1" w:rsidRDefault="00610C43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5BA3D2" wp14:editId="661B4F33">
            <wp:simplePos x="0" y="0"/>
            <wp:positionH relativeFrom="margin">
              <wp:posOffset>4504690</wp:posOffset>
            </wp:positionH>
            <wp:positionV relativeFrom="paragraph">
              <wp:posOffset>76835</wp:posOffset>
            </wp:positionV>
            <wp:extent cx="1241425" cy="8274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ffle-along-logo-516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bCs/>
          <w:color w:val="C00000"/>
          <w:sz w:val="28"/>
          <w:szCs w:val="28"/>
        </w:rPr>
        <w:t xml:space="preserve">Save the Date for “Shuffle </w:t>
      </w:r>
      <w:proofErr w:type="gramStart"/>
      <w:r>
        <w:rPr>
          <w:rFonts w:ascii="Eras Demi ITC" w:hAnsi="Eras Demi ITC"/>
          <w:bCs/>
          <w:color w:val="C00000"/>
          <w:sz w:val="28"/>
          <w:szCs w:val="28"/>
        </w:rPr>
        <w:t>Along</w:t>
      </w:r>
      <w:proofErr w:type="gramEnd"/>
      <w:r>
        <w:rPr>
          <w:rFonts w:ascii="Eras Demi ITC" w:hAnsi="Eras Demi ITC"/>
          <w:bCs/>
          <w:color w:val="C00000"/>
          <w:sz w:val="28"/>
          <w:szCs w:val="28"/>
        </w:rPr>
        <w:t>” in June 2016</w:t>
      </w:r>
    </w:p>
    <w:p w14:paraId="14E0A661" w14:textId="0DC13364" w:rsidR="00610C43" w:rsidRPr="00BB16B1" w:rsidRDefault="00610C43" w:rsidP="007E7361">
      <w:pPr>
        <w:pStyle w:val="owapara"/>
        <w:rPr>
          <w:rFonts w:asciiTheme="minorHAnsi" w:hAnsiTheme="minorHAnsi" w:cs="Arial"/>
          <w:sz w:val="4"/>
          <w:szCs w:val="22"/>
        </w:rPr>
      </w:pPr>
    </w:p>
    <w:p w14:paraId="7E041DBD" w14:textId="78EC2BAB" w:rsidR="00DA42F8" w:rsidRDefault="0066532C" w:rsidP="00610C43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hyperlink r:id="rId7" w:history="1">
        <w:r w:rsidR="00610C43" w:rsidRPr="00610C43">
          <w:rPr>
            <w:rStyle w:val="Hyperlink"/>
            <w:rFonts w:asciiTheme="minorHAnsi" w:hAnsiTheme="minorHAnsi" w:cs="Arial"/>
            <w:sz w:val="22"/>
            <w:szCs w:val="22"/>
          </w:rPr>
          <w:t>MFY’s 2016 Dinner-Theatre Benefit</w:t>
        </w:r>
      </w:hyperlink>
      <w:r w:rsidR="00610C43">
        <w:rPr>
          <w:rFonts w:asciiTheme="minorHAnsi" w:hAnsiTheme="minorHAnsi" w:cs="Arial"/>
          <w:sz w:val="22"/>
          <w:szCs w:val="22"/>
        </w:rPr>
        <w:t xml:space="preserve"> </w:t>
      </w:r>
      <w:r w:rsidR="003F7A7E">
        <w:rPr>
          <w:rFonts w:asciiTheme="minorHAnsi" w:hAnsiTheme="minorHAnsi" w:cs="Arial"/>
          <w:sz w:val="22"/>
          <w:szCs w:val="22"/>
        </w:rPr>
        <w:t xml:space="preserve">on June 15, 2016 </w:t>
      </w:r>
      <w:r w:rsidR="00610C43">
        <w:rPr>
          <w:rFonts w:asciiTheme="minorHAnsi" w:hAnsiTheme="minorHAnsi" w:cs="Arial"/>
          <w:sz w:val="22"/>
          <w:szCs w:val="22"/>
        </w:rPr>
        <w:t xml:space="preserve">will feature cocktails and dinner at The Edison Ballroom, followed by the new Broadway musical, “Shuffle Along.” The event will honor Pillsbury Winthrop Shaw Pittman LLP and </w:t>
      </w:r>
      <w:r w:rsidR="00FB2B47">
        <w:rPr>
          <w:rFonts w:asciiTheme="minorHAnsi" w:hAnsiTheme="minorHAnsi" w:cs="Arial"/>
          <w:sz w:val="22"/>
          <w:szCs w:val="22"/>
        </w:rPr>
        <w:t xml:space="preserve">MFY Board Member </w:t>
      </w:r>
      <w:r w:rsidR="00610C43">
        <w:rPr>
          <w:rFonts w:asciiTheme="minorHAnsi" w:hAnsiTheme="minorHAnsi" w:cs="Arial"/>
          <w:sz w:val="22"/>
          <w:szCs w:val="22"/>
        </w:rPr>
        <w:t xml:space="preserve">David </w:t>
      </w:r>
      <w:proofErr w:type="spellStart"/>
      <w:r w:rsidR="00610C43">
        <w:rPr>
          <w:rFonts w:asciiTheme="minorHAnsi" w:hAnsiTheme="minorHAnsi" w:cs="Arial"/>
          <w:sz w:val="22"/>
          <w:szCs w:val="22"/>
        </w:rPr>
        <w:t>Keyko</w:t>
      </w:r>
      <w:proofErr w:type="spellEnd"/>
      <w:r w:rsidR="00610C43">
        <w:rPr>
          <w:rFonts w:asciiTheme="minorHAnsi" w:hAnsiTheme="minorHAnsi" w:cs="Arial"/>
          <w:sz w:val="22"/>
          <w:szCs w:val="22"/>
        </w:rPr>
        <w:t xml:space="preserve"> and Simpson </w:t>
      </w:r>
      <w:proofErr w:type="spellStart"/>
      <w:r w:rsidR="00610C43">
        <w:rPr>
          <w:rFonts w:asciiTheme="minorHAnsi" w:hAnsiTheme="minorHAnsi" w:cs="Arial"/>
          <w:sz w:val="22"/>
          <w:szCs w:val="22"/>
        </w:rPr>
        <w:t>Thacher</w:t>
      </w:r>
      <w:proofErr w:type="spellEnd"/>
      <w:r w:rsidR="00610C43">
        <w:rPr>
          <w:rFonts w:asciiTheme="minorHAnsi" w:hAnsiTheme="minorHAnsi" w:cs="Arial"/>
          <w:sz w:val="22"/>
          <w:szCs w:val="22"/>
        </w:rPr>
        <w:t xml:space="preserve"> &amp; Bartlett </w:t>
      </w:r>
      <w:r w:rsidR="00AA38D3">
        <w:rPr>
          <w:rFonts w:asciiTheme="minorHAnsi" w:hAnsiTheme="minorHAnsi" w:cs="Arial"/>
          <w:sz w:val="22"/>
          <w:szCs w:val="22"/>
        </w:rPr>
        <w:t xml:space="preserve">LLP </w:t>
      </w:r>
      <w:r w:rsidR="00610C43">
        <w:rPr>
          <w:rFonts w:asciiTheme="minorHAnsi" w:hAnsiTheme="minorHAnsi" w:cs="Arial"/>
          <w:sz w:val="22"/>
          <w:szCs w:val="22"/>
        </w:rPr>
        <w:t xml:space="preserve">and </w:t>
      </w:r>
      <w:r w:rsidR="00FB2B47">
        <w:rPr>
          <w:rFonts w:asciiTheme="minorHAnsi" w:hAnsiTheme="minorHAnsi" w:cs="Arial"/>
          <w:sz w:val="22"/>
          <w:szCs w:val="22"/>
        </w:rPr>
        <w:t xml:space="preserve">MFY Board Member </w:t>
      </w:r>
      <w:r w:rsidR="00610C43">
        <w:rPr>
          <w:rFonts w:asciiTheme="minorHAnsi" w:hAnsiTheme="minorHAnsi" w:cs="Arial"/>
          <w:sz w:val="22"/>
          <w:szCs w:val="22"/>
        </w:rPr>
        <w:t xml:space="preserve">David Ichel.  </w:t>
      </w:r>
    </w:p>
    <w:p w14:paraId="090994A6" w14:textId="77777777" w:rsidR="00610C43" w:rsidRDefault="00610C43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</w:p>
    <w:p w14:paraId="7E91F7D4" w14:textId="77777777" w:rsidR="009E6C01" w:rsidRDefault="009E6C01" w:rsidP="00966B6B">
      <w:pPr>
        <w:rPr>
          <w:rFonts w:ascii="Eras Demi ITC" w:hAnsi="Eras Demi ITC"/>
          <w:color w:val="C00000"/>
          <w:sz w:val="28"/>
          <w:szCs w:val="72"/>
        </w:rPr>
      </w:pPr>
      <w:r w:rsidRPr="00296C5C">
        <w:rPr>
          <w:rFonts w:ascii="Eras Demi ITC" w:hAnsi="Eras Demi ITC"/>
          <w:color w:val="C00000"/>
          <w:sz w:val="28"/>
          <w:szCs w:val="72"/>
        </w:rPr>
        <w:t>MFY in the News . . .</w:t>
      </w:r>
    </w:p>
    <w:p w14:paraId="05EC5A82" w14:textId="77777777" w:rsidR="00637812" w:rsidRPr="00637812" w:rsidRDefault="00637812" w:rsidP="00966B6B">
      <w:pPr>
        <w:rPr>
          <w:rFonts w:ascii="Eras Demi ITC" w:hAnsi="Eras Demi ITC"/>
          <w:color w:val="C00000"/>
          <w:sz w:val="10"/>
          <w:szCs w:val="72"/>
        </w:rPr>
      </w:pPr>
    </w:p>
    <w:p w14:paraId="23B17AB0" w14:textId="426305C9" w:rsidR="00637812" w:rsidRDefault="00637812" w:rsidP="00966B6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MFY Supervising Attorney Carolyn Coffey is quoted in two articles on debt collection: </w:t>
      </w:r>
      <w:hyperlink r:id="rId8" w:history="1">
        <w:r w:rsidRPr="00637812">
          <w:rPr>
            <w:rStyle w:val="Hyperlink"/>
            <w:rFonts w:asciiTheme="minorHAnsi" w:hAnsiTheme="minorHAnsi" w:cs="Arial"/>
            <w:sz w:val="22"/>
            <w:szCs w:val="22"/>
          </w:rPr>
          <w:t>How Debt Collectors Ruin Lives</w:t>
        </w:r>
      </w:hyperlink>
      <w:r>
        <w:rPr>
          <w:rFonts w:asciiTheme="minorHAnsi" w:hAnsiTheme="minorHAnsi" w:cs="Arial"/>
          <w:sz w:val="22"/>
          <w:szCs w:val="22"/>
        </w:rPr>
        <w:t xml:space="preserve"> in </w:t>
      </w:r>
      <w:r w:rsidRPr="00637812">
        <w:rPr>
          <w:rFonts w:asciiTheme="minorHAnsi" w:hAnsiTheme="minorHAnsi" w:cs="Arial"/>
          <w:i/>
          <w:sz w:val="22"/>
          <w:szCs w:val="22"/>
        </w:rPr>
        <w:t>The Nation</w:t>
      </w:r>
      <w:r>
        <w:rPr>
          <w:rFonts w:asciiTheme="minorHAnsi" w:hAnsiTheme="minorHAnsi" w:cs="Arial"/>
          <w:sz w:val="22"/>
          <w:szCs w:val="22"/>
        </w:rPr>
        <w:t xml:space="preserve">, and </w:t>
      </w:r>
      <w:hyperlink r:id="rId9" w:history="1">
        <w:r w:rsidRPr="00637812">
          <w:rPr>
            <w:rStyle w:val="Hyperlink"/>
            <w:rFonts w:asciiTheme="minorHAnsi" w:hAnsiTheme="minorHAnsi" w:cs="Arial"/>
            <w:sz w:val="22"/>
            <w:szCs w:val="22"/>
          </w:rPr>
          <w:t>Lawyers engaging in debt collection may be regulated by a New York City ordinance</w:t>
        </w:r>
        <w:r w:rsidR="00AA38D3">
          <w:rPr>
            <w:rStyle w:val="Hyperlink"/>
            <w:rFonts w:asciiTheme="minorHAnsi" w:hAnsiTheme="minorHAnsi" w:cs="Arial"/>
            <w:sz w:val="22"/>
            <w:szCs w:val="22"/>
          </w:rPr>
          <w:t>,</w:t>
        </w:r>
        <w:r w:rsidRPr="00637812">
          <w:rPr>
            <w:rStyle w:val="Hyperlink"/>
            <w:rFonts w:asciiTheme="minorHAnsi" w:hAnsiTheme="minorHAnsi" w:cs="Arial"/>
            <w:sz w:val="22"/>
            <w:szCs w:val="22"/>
          </w:rPr>
          <w:t xml:space="preserve"> say courts</w:t>
        </w:r>
      </w:hyperlink>
      <w:r>
        <w:rPr>
          <w:rFonts w:asciiTheme="minorHAnsi" w:hAnsiTheme="minorHAnsi" w:cs="Arial"/>
          <w:sz w:val="22"/>
          <w:szCs w:val="22"/>
        </w:rPr>
        <w:t xml:space="preserve"> in the </w:t>
      </w:r>
      <w:r w:rsidRPr="00637812">
        <w:rPr>
          <w:rFonts w:asciiTheme="minorHAnsi" w:hAnsiTheme="minorHAnsi" w:cs="Arial"/>
          <w:i/>
          <w:sz w:val="22"/>
          <w:szCs w:val="22"/>
        </w:rPr>
        <w:t>ABA Journal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3B37AFF4" w14:textId="77777777" w:rsidR="00637812" w:rsidRDefault="00637812" w:rsidP="00966B6B">
      <w:pPr>
        <w:rPr>
          <w:rFonts w:asciiTheme="minorHAnsi" w:hAnsiTheme="minorHAnsi" w:cs="Arial"/>
          <w:sz w:val="22"/>
          <w:szCs w:val="22"/>
        </w:rPr>
      </w:pPr>
    </w:p>
    <w:p w14:paraId="7BE87E4E" w14:textId="41B98DFB" w:rsidR="00637812" w:rsidRPr="00637812" w:rsidRDefault="00637812" w:rsidP="00966B6B">
      <w:pPr>
        <w:rPr>
          <w:rFonts w:ascii="Eras Demi ITC" w:hAnsi="Eras Demi ITC"/>
          <w:color w:val="C00000"/>
          <w:sz w:val="28"/>
          <w:szCs w:val="72"/>
        </w:rPr>
      </w:pPr>
      <w:r>
        <w:rPr>
          <w:rFonts w:asciiTheme="minorHAnsi" w:hAnsiTheme="minorHAnsi" w:cs="Arial"/>
          <w:sz w:val="22"/>
          <w:szCs w:val="22"/>
        </w:rPr>
        <w:t xml:space="preserve">MFY Staff Attorney Matthew Main is quoted in </w:t>
      </w:r>
      <w:hyperlink r:id="rId10" w:history="1">
        <w:r w:rsidRPr="00637812">
          <w:rPr>
            <w:rStyle w:val="Hyperlink"/>
            <w:rFonts w:asciiTheme="minorHAnsi" w:hAnsiTheme="minorHAnsi" w:cs="Arial"/>
            <w:sz w:val="22"/>
            <w:szCs w:val="22"/>
          </w:rPr>
          <w:t>How New York’s Poorest Live</w:t>
        </w:r>
      </w:hyperlink>
      <w:r>
        <w:rPr>
          <w:rFonts w:asciiTheme="minorHAnsi" w:hAnsiTheme="minorHAnsi" w:cs="Arial"/>
          <w:sz w:val="22"/>
          <w:szCs w:val="22"/>
        </w:rPr>
        <w:t xml:space="preserve">, the latest exposé on three-quarter houses, in </w:t>
      </w:r>
      <w:r>
        <w:rPr>
          <w:rFonts w:asciiTheme="minorHAnsi" w:hAnsiTheme="minorHAnsi" w:cs="Arial"/>
          <w:i/>
          <w:sz w:val="22"/>
          <w:szCs w:val="22"/>
        </w:rPr>
        <w:t xml:space="preserve">El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Diario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-La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Prensa</w:t>
      </w:r>
      <w:proofErr w:type="spellEnd"/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(translated by </w:t>
      </w:r>
      <w:r>
        <w:rPr>
          <w:rFonts w:asciiTheme="minorHAnsi" w:hAnsiTheme="minorHAnsi" w:cs="Arial"/>
          <w:i/>
          <w:sz w:val="22"/>
          <w:szCs w:val="22"/>
        </w:rPr>
        <w:t>New York Voices</w:t>
      </w:r>
      <w:r>
        <w:rPr>
          <w:rFonts w:asciiTheme="minorHAnsi" w:hAnsiTheme="minorHAnsi" w:cs="Arial"/>
          <w:sz w:val="22"/>
          <w:szCs w:val="22"/>
        </w:rPr>
        <w:t>).</w:t>
      </w:r>
    </w:p>
    <w:p w14:paraId="40DD8B9B" w14:textId="389FEE85" w:rsidR="0099098A" w:rsidRDefault="0099098A" w:rsidP="00164113">
      <w:pPr>
        <w:jc w:val="right"/>
        <w:rPr>
          <w:sz w:val="14"/>
        </w:rPr>
      </w:pPr>
    </w:p>
    <w:sectPr w:rsidR="0099098A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57E94"/>
    <w:rsid w:val="00081D25"/>
    <w:rsid w:val="000A5E5D"/>
    <w:rsid w:val="000B27C8"/>
    <w:rsid w:val="000B687C"/>
    <w:rsid w:val="000C7E98"/>
    <w:rsid w:val="000D585D"/>
    <w:rsid w:val="00120F25"/>
    <w:rsid w:val="00127932"/>
    <w:rsid w:val="001314E9"/>
    <w:rsid w:val="00164113"/>
    <w:rsid w:val="001669A5"/>
    <w:rsid w:val="001A74D9"/>
    <w:rsid w:val="001C09AE"/>
    <w:rsid w:val="001E121E"/>
    <w:rsid w:val="001F079C"/>
    <w:rsid w:val="00215614"/>
    <w:rsid w:val="00223BCC"/>
    <w:rsid w:val="00227D56"/>
    <w:rsid w:val="00257010"/>
    <w:rsid w:val="00296C5C"/>
    <w:rsid w:val="002B49A9"/>
    <w:rsid w:val="002D6CA4"/>
    <w:rsid w:val="00303F0B"/>
    <w:rsid w:val="0030482C"/>
    <w:rsid w:val="00370907"/>
    <w:rsid w:val="003946A8"/>
    <w:rsid w:val="003B27E4"/>
    <w:rsid w:val="003F4F1D"/>
    <w:rsid w:val="003F7A7E"/>
    <w:rsid w:val="00431BF7"/>
    <w:rsid w:val="00434F72"/>
    <w:rsid w:val="004738E1"/>
    <w:rsid w:val="004869B5"/>
    <w:rsid w:val="00494AA2"/>
    <w:rsid w:val="004960D8"/>
    <w:rsid w:val="004A4D65"/>
    <w:rsid w:val="004B6BF3"/>
    <w:rsid w:val="005109C9"/>
    <w:rsid w:val="00523ED0"/>
    <w:rsid w:val="005371F4"/>
    <w:rsid w:val="00564E93"/>
    <w:rsid w:val="005903A9"/>
    <w:rsid w:val="00610C43"/>
    <w:rsid w:val="00637812"/>
    <w:rsid w:val="00656DA1"/>
    <w:rsid w:val="0066532C"/>
    <w:rsid w:val="006B21DF"/>
    <w:rsid w:val="006B62EE"/>
    <w:rsid w:val="006C64C8"/>
    <w:rsid w:val="006E1049"/>
    <w:rsid w:val="00710AA8"/>
    <w:rsid w:val="00722D51"/>
    <w:rsid w:val="007273F2"/>
    <w:rsid w:val="007530C8"/>
    <w:rsid w:val="00783AD2"/>
    <w:rsid w:val="0078752A"/>
    <w:rsid w:val="007C52B3"/>
    <w:rsid w:val="007E7361"/>
    <w:rsid w:val="007F49B1"/>
    <w:rsid w:val="008255CC"/>
    <w:rsid w:val="008548ED"/>
    <w:rsid w:val="008C2770"/>
    <w:rsid w:val="008D4D12"/>
    <w:rsid w:val="00902F11"/>
    <w:rsid w:val="009039E6"/>
    <w:rsid w:val="0091531F"/>
    <w:rsid w:val="00925FE9"/>
    <w:rsid w:val="00934774"/>
    <w:rsid w:val="0095123F"/>
    <w:rsid w:val="00964064"/>
    <w:rsid w:val="00966B6B"/>
    <w:rsid w:val="00984209"/>
    <w:rsid w:val="0099098A"/>
    <w:rsid w:val="0099218F"/>
    <w:rsid w:val="009A738C"/>
    <w:rsid w:val="009E6C01"/>
    <w:rsid w:val="009E72FF"/>
    <w:rsid w:val="009F6A81"/>
    <w:rsid w:val="00A05B22"/>
    <w:rsid w:val="00A14241"/>
    <w:rsid w:val="00A346A8"/>
    <w:rsid w:val="00A47BCF"/>
    <w:rsid w:val="00A53392"/>
    <w:rsid w:val="00A8316D"/>
    <w:rsid w:val="00A90EFE"/>
    <w:rsid w:val="00A955F9"/>
    <w:rsid w:val="00AA38D3"/>
    <w:rsid w:val="00AA7C4A"/>
    <w:rsid w:val="00AD43D9"/>
    <w:rsid w:val="00B04D36"/>
    <w:rsid w:val="00B0676F"/>
    <w:rsid w:val="00B15A7E"/>
    <w:rsid w:val="00B23E0B"/>
    <w:rsid w:val="00B66132"/>
    <w:rsid w:val="00B81615"/>
    <w:rsid w:val="00BB16B1"/>
    <w:rsid w:val="00BF37C4"/>
    <w:rsid w:val="00C06E43"/>
    <w:rsid w:val="00C246CB"/>
    <w:rsid w:val="00C37769"/>
    <w:rsid w:val="00C44772"/>
    <w:rsid w:val="00C46E96"/>
    <w:rsid w:val="00CC5DF6"/>
    <w:rsid w:val="00CD2F46"/>
    <w:rsid w:val="00CE226C"/>
    <w:rsid w:val="00D00DFB"/>
    <w:rsid w:val="00D158B4"/>
    <w:rsid w:val="00D45AB9"/>
    <w:rsid w:val="00D67B4F"/>
    <w:rsid w:val="00D82441"/>
    <w:rsid w:val="00DA42F8"/>
    <w:rsid w:val="00DC3C62"/>
    <w:rsid w:val="00DF3231"/>
    <w:rsid w:val="00DF5811"/>
    <w:rsid w:val="00E113A2"/>
    <w:rsid w:val="00E36D51"/>
    <w:rsid w:val="00E40273"/>
    <w:rsid w:val="00E61FE5"/>
    <w:rsid w:val="00E733C1"/>
    <w:rsid w:val="00F717F6"/>
    <w:rsid w:val="00F763F3"/>
    <w:rsid w:val="00F95B03"/>
    <w:rsid w:val="00F97908"/>
    <w:rsid w:val="00F97FA9"/>
    <w:rsid w:val="00FA02D6"/>
    <w:rsid w:val="00FB2B47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6EC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.com/article/debt-tr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fy.org/mfy-annual-dinner-theatre-benef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voicesofny.org/2015/12/how-new-yorks-poorest-live/?utm_source=Voices+Newsletter&amp;utm_campaign=b29c8e8d1c-RSS_EMAIL_CAMPAIGN&amp;utm_medium=email&amp;utm_term=0_ffee07af47-b29c8e8d1c-323689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bajournal.com/magazine/article/lawyers_engaging_in_debt_collection_may_be_regulated_by_a_new_york_city_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3</cp:revision>
  <cp:lastPrinted>2015-04-29T20:53:00Z</cp:lastPrinted>
  <dcterms:created xsi:type="dcterms:W3CDTF">2015-12-23T19:30:00Z</dcterms:created>
  <dcterms:modified xsi:type="dcterms:W3CDTF">2015-12-23T20:15:00Z</dcterms:modified>
</cp:coreProperties>
</file>