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55" w:rsidRPr="0065074B" w:rsidRDefault="00B40F5B" w:rsidP="0082763B">
      <w:pPr>
        <w:widowControl w:val="0"/>
        <w:autoSpaceDE w:val="0"/>
        <w:autoSpaceDN w:val="0"/>
        <w:adjustRightInd w:val="0"/>
        <w:spacing w:after="0" w:line="240" w:lineRule="auto"/>
        <w:jc w:val="center"/>
        <w:rPr>
          <w:rFonts w:ascii="Arial Black" w:hAnsi="Arial Black" w:cs="Arial"/>
          <w:bCs/>
          <w:sz w:val="36"/>
          <w:szCs w:val="36"/>
        </w:rPr>
      </w:pPr>
      <w:r w:rsidRPr="0065074B">
        <w:rPr>
          <w:rFonts w:ascii="Arial Black" w:hAnsi="Arial Black" w:cs="Arial"/>
          <w:bCs/>
          <w:noProof/>
          <w:sz w:val="36"/>
          <w:szCs w:val="36"/>
          <w:lang w:val="en-US" w:eastAsia="en-US" w:bidi="ar-SA"/>
        </w:rPr>
        <w:drawing>
          <wp:inline distT="0" distB="0" distL="0" distR="0" wp14:anchorId="3EB65A09" wp14:editId="74A8F2E4">
            <wp:extent cx="2381250" cy="962025"/>
            <wp:effectExtent l="0" t="0" r="0" b="9525"/>
            <wp:docPr id="1" name="Picture 1" descr="MFJ-notagline-rgb-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J-notagline-rgb-for 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962025"/>
                    </a:xfrm>
                    <a:prstGeom prst="rect">
                      <a:avLst/>
                    </a:prstGeom>
                    <a:noFill/>
                    <a:ln>
                      <a:noFill/>
                    </a:ln>
                  </pic:spPr>
                </pic:pic>
              </a:graphicData>
            </a:graphic>
          </wp:inline>
        </w:drawing>
      </w:r>
    </w:p>
    <w:p w:rsidR="003D4E55" w:rsidRPr="0065074B" w:rsidRDefault="003D4E55" w:rsidP="0082763B">
      <w:pPr>
        <w:widowControl w:val="0"/>
        <w:autoSpaceDE w:val="0"/>
        <w:autoSpaceDN w:val="0"/>
        <w:adjustRightInd w:val="0"/>
        <w:spacing w:after="0" w:line="240" w:lineRule="auto"/>
        <w:jc w:val="center"/>
        <w:rPr>
          <w:rFonts w:ascii="Arial Black" w:hAnsi="Arial Black" w:cs="Arial"/>
          <w:bCs/>
          <w:szCs w:val="36"/>
        </w:rPr>
      </w:pPr>
    </w:p>
    <w:p w:rsidR="00FF4F95" w:rsidRPr="0065074B" w:rsidRDefault="00E833C5" w:rsidP="0082763B">
      <w:pPr>
        <w:widowControl w:val="0"/>
        <w:autoSpaceDE w:val="0"/>
        <w:autoSpaceDN w:val="0"/>
        <w:adjustRightInd w:val="0"/>
        <w:spacing w:after="0" w:line="240" w:lineRule="auto"/>
        <w:jc w:val="center"/>
        <w:rPr>
          <w:rFonts w:ascii="Arial Black" w:hAnsi="Arial Black" w:cs="Arial"/>
          <w:sz w:val="36"/>
          <w:szCs w:val="36"/>
        </w:rPr>
      </w:pPr>
      <w:r w:rsidRPr="0065074B">
        <w:rPr>
          <w:rFonts w:ascii="Arial Black" w:hAnsi="Arial Black"/>
          <w:sz w:val="36"/>
        </w:rPr>
        <w:t xml:space="preserve">Información </w:t>
      </w:r>
      <w:r w:rsidR="00E22FE7">
        <w:rPr>
          <w:rFonts w:ascii="Arial Black" w:hAnsi="Arial Black"/>
          <w:sz w:val="36"/>
        </w:rPr>
        <w:t>sobre el alta del hospital para</w:t>
      </w:r>
      <w:r w:rsidR="00E22FE7">
        <w:rPr>
          <w:rFonts w:ascii="Arial Black" w:hAnsi="Arial Black"/>
          <w:sz w:val="36"/>
        </w:rPr>
        <w:br/>
      </w:r>
      <w:r w:rsidRPr="0065074B">
        <w:rPr>
          <w:rFonts w:ascii="Arial Black" w:hAnsi="Arial Black"/>
          <w:sz w:val="36"/>
        </w:rPr>
        <w:t>los residentes</w:t>
      </w:r>
      <w:r w:rsidR="00605484">
        <w:rPr>
          <w:rFonts w:ascii="Arial Black" w:hAnsi="Arial Black"/>
          <w:sz w:val="36"/>
        </w:rPr>
        <w:t xml:space="preserve"> </w:t>
      </w:r>
      <w:r w:rsidR="00FF4F95" w:rsidRPr="0065074B">
        <w:rPr>
          <w:rFonts w:ascii="Arial Black" w:hAnsi="Arial Black"/>
          <w:sz w:val="36"/>
        </w:rPr>
        <w:t>de hogares para adultos</w:t>
      </w:r>
    </w:p>
    <w:p w:rsidR="00E833C5" w:rsidRPr="0065074B" w:rsidRDefault="00E833C5" w:rsidP="00437C11">
      <w:pPr>
        <w:widowControl w:val="0"/>
        <w:autoSpaceDE w:val="0"/>
        <w:autoSpaceDN w:val="0"/>
        <w:adjustRightInd w:val="0"/>
        <w:spacing w:after="0" w:line="280" w:lineRule="exact"/>
        <w:ind w:right="172"/>
        <w:rPr>
          <w:rFonts w:ascii="Arial" w:hAnsi="Arial" w:cs="Arial"/>
          <w:b/>
          <w:bCs/>
          <w:sz w:val="20"/>
          <w:szCs w:val="20"/>
        </w:rPr>
      </w:pPr>
    </w:p>
    <w:p w:rsidR="00A35D9B" w:rsidRPr="0065074B" w:rsidRDefault="00A35D9B" w:rsidP="003D4E55">
      <w:pPr>
        <w:widowControl w:val="0"/>
        <w:autoSpaceDE w:val="0"/>
        <w:autoSpaceDN w:val="0"/>
        <w:adjustRightInd w:val="0"/>
        <w:spacing w:after="0" w:line="240" w:lineRule="auto"/>
        <w:ind w:right="173"/>
        <w:rPr>
          <w:rFonts w:ascii="Arial" w:hAnsi="Arial" w:cs="Arial"/>
          <w:b/>
          <w:bCs/>
          <w:sz w:val="20"/>
          <w:szCs w:val="20"/>
        </w:rPr>
      </w:pPr>
      <w:r w:rsidRPr="0065074B">
        <w:rPr>
          <w:rFonts w:ascii="Arial" w:hAnsi="Arial"/>
          <w:b/>
          <w:sz w:val="20"/>
        </w:rPr>
        <w:t>¿</w:t>
      </w:r>
      <w:r w:rsidRPr="00E444F8">
        <w:rPr>
          <w:rFonts w:ascii="Arial" w:hAnsi="Arial"/>
          <w:b/>
          <w:caps/>
          <w:sz w:val="20"/>
        </w:rPr>
        <w:t>Tienen los residentes de hogares para adulto el derecho de volver a su hogar después de una hospitalización</w:t>
      </w:r>
      <w:r w:rsidRPr="0065074B">
        <w:rPr>
          <w:rFonts w:ascii="Arial" w:hAnsi="Arial"/>
          <w:b/>
          <w:sz w:val="20"/>
        </w:rPr>
        <w:t xml:space="preserve">? </w:t>
      </w:r>
    </w:p>
    <w:p w:rsidR="00A35D9B" w:rsidRPr="0065074B" w:rsidRDefault="00A35D9B" w:rsidP="003D4E55">
      <w:pPr>
        <w:widowControl w:val="0"/>
        <w:autoSpaceDE w:val="0"/>
        <w:autoSpaceDN w:val="0"/>
        <w:adjustRightInd w:val="0"/>
        <w:spacing w:after="0" w:line="240" w:lineRule="auto"/>
        <w:ind w:right="172"/>
        <w:rPr>
          <w:rFonts w:ascii="Arial" w:hAnsi="Arial" w:cs="Arial"/>
          <w:b/>
          <w:bCs/>
          <w:sz w:val="16"/>
          <w:szCs w:val="20"/>
        </w:rPr>
      </w:pPr>
    </w:p>
    <w:p w:rsidR="00FF4F95" w:rsidRPr="0065074B" w:rsidRDefault="00D26A13" w:rsidP="003D4E55">
      <w:pPr>
        <w:widowControl w:val="0"/>
        <w:autoSpaceDE w:val="0"/>
        <w:autoSpaceDN w:val="0"/>
        <w:adjustRightInd w:val="0"/>
        <w:spacing w:after="0" w:line="240" w:lineRule="auto"/>
        <w:ind w:right="173"/>
        <w:rPr>
          <w:rFonts w:ascii="Arial" w:hAnsi="Arial" w:cs="Arial"/>
          <w:sz w:val="20"/>
          <w:szCs w:val="20"/>
        </w:rPr>
      </w:pPr>
      <w:r w:rsidRPr="0065074B">
        <w:rPr>
          <w:rFonts w:ascii="Arial" w:hAnsi="Arial"/>
          <w:sz w:val="20"/>
        </w:rPr>
        <w:t>Sí</w:t>
      </w:r>
      <w:r w:rsidR="0065074B">
        <w:rPr>
          <w:rFonts w:ascii="Arial" w:hAnsi="Arial"/>
          <w:sz w:val="20"/>
        </w:rPr>
        <w:t xml:space="preserve">. </w:t>
      </w:r>
      <w:r w:rsidR="0062792E" w:rsidRPr="0065074B">
        <w:rPr>
          <w:rFonts w:ascii="Arial" w:hAnsi="Arial"/>
          <w:sz w:val="20"/>
        </w:rPr>
        <w:t>Los residentes de hogares para adultos tienen el derecho de volver a su hogar una vez que el hospital determine que están listos para ser dados de alta. Por ley, los residentes de hogares para adultos deben firmar un acuerdo de admisión cuando ingresan por primera vez al hogar. De la única manera</w:t>
      </w:r>
      <w:r w:rsidR="00F276F7">
        <w:rPr>
          <w:rFonts w:ascii="Arial" w:hAnsi="Arial"/>
          <w:sz w:val="20"/>
        </w:rPr>
        <w:t xml:space="preserve"> que un hogar para adultos puede</w:t>
      </w:r>
      <w:r w:rsidR="0062792E" w:rsidRPr="0065074B">
        <w:rPr>
          <w:rFonts w:ascii="Arial" w:hAnsi="Arial"/>
          <w:sz w:val="20"/>
        </w:rPr>
        <w:t xml:space="preserve"> desalojar legalmente a un residente es mediante la finalización del contrato de admisión. Esto se hace mediante notificación previa e iniciando un proceso judicial</w:t>
      </w:r>
      <w:r w:rsidR="00F276F7">
        <w:rPr>
          <w:rFonts w:ascii="Arial" w:hAnsi="Arial"/>
          <w:sz w:val="20"/>
        </w:rPr>
        <w:t>.</w:t>
      </w:r>
      <w:r w:rsidR="0062792E" w:rsidRPr="0065074B">
        <w:rPr>
          <w:rFonts w:ascii="Arial" w:hAnsi="Arial"/>
          <w:sz w:val="20"/>
        </w:rPr>
        <w:t xml:space="preserve"> El residente tiene el derecho de vivir en el hogar hasta que un juez determine que el acuerdo de admisión debería darse por finalizado y emita una orden que así lo indique</w:t>
      </w:r>
      <w:r w:rsidR="0065074B">
        <w:rPr>
          <w:rFonts w:ascii="Arial" w:hAnsi="Arial"/>
          <w:sz w:val="20"/>
        </w:rPr>
        <w:t xml:space="preserve">. </w:t>
      </w:r>
      <w:r w:rsidR="0062792E" w:rsidRPr="0065074B">
        <w:rPr>
          <w:rFonts w:ascii="Arial" w:hAnsi="Arial"/>
          <w:sz w:val="20"/>
        </w:rPr>
        <w:t xml:space="preserve">En otras palabras, </w:t>
      </w:r>
      <w:r w:rsidR="0062792E" w:rsidRPr="0065074B">
        <w:rPr>
          <w:rFonts w:ascii="Arial" w:hAnsi="Arial"/>
          <w:b/>
          <w:sz w:val="20"/>
        </w:rPr>
        <w:t>aun cuando el hogar le haya dado al residente una notificación 30 días antes o haya comenzado un proceso de desalojo, al residente se le permitirá volver al hogar</w:t>
      </w:r>
      <w:r w:rsidR="0062792E" w:rsidRPr="0065074B">
        <w:rPr>
          <w:rFonts w:ascii="Arial" w:hAnsi="Arial"/>
          <w:sz w:val="20"/>
        </w:rPr>
        <w:t>.</w:t>
      </w:r>
    </w:p>
    <w:p w:rsidR="00FF4F95" w:rsidRPr="0065074B" w:rsidRDefault="00FF4F95" w:rsidP="003D4E55">
      <w:pPr>
        <w:widowControl w:val="0"/>
        <w:autoSpaceDE w:val="0"/>
        <w:autoSpaceDN w:val="0"/>
        <w:adjustRightInd w:val="0"/>
        <w:spacing w:before="12" w:after="0" w:line="240" w:lineRule="auto"/>
        <w:rPr>
          <w:rFonts w:ascii="Arial" w:hAnsi="Arial" w:cs="Arial"/>
          <w:sz w:val="20"/>
          <w:szCs w:val="20"/>
        </w:rPr>
      </w:pPr>
    </w:p>
    <w:p w:rsidR="00FF4F95" w:rsidRPr="0065074B" w:rsidRDefault="00FF4F95" w:rsidP="003D4E55">
      <w:pPr>
        <w:widowControl w:val="0"/>
        <w:autoSpaceDE w:val="0"/>
        <w:autoSpaceDN w:val="0"/>
        <w:adjustRightInd w:val="0"/>
        <w:spacing w:after="0" w:line="240" w:lineRule="auto"/>
        <w:ind w:right="274"/>
        <w:rPr>
          <w:rFonts w:ascii="Arial" w:hAnsi="Arial" w:cs="Arial"/>
          <w:sz w:val="20"/>
          <w:szCs w:val="20"/>
        </w:rPr>
      </w:pPr>
      <w:r w:rsidRPr="0065074B">
        <w:rPr>
          <w:rFonts w:ascii="Arial" w:hAnsi="Arial"/>
          <w:sz w:val="20"/>
        </w:rPr>
        <w:t>Un hogar puede desalojar temporariamente a un residente si dicho residente requiere tratamiento médico, o si su comportamiento constituye un riesgo inmediato para sí mismo u otros</w:t>
      </w:r>
      <w:r w:rsidR="0065074B">
        <w:rPr>
          <w:rFonts w:ascii="Arial" w:hAnsi="Arial"/>
          <w:sz w:val="20"/>
        </w:rPr>
        <w:t xml:space="preserve">. </w:t>
      </w:r>
      <w:r w:rsidRPr="0065074B">
        <w:rPr>
          <w:rFonts w:ascii="Arial" w:hAnsi="Arial"/>
          <w:sz w:val="20"/>
        </w:rPr>
        <w:t xml:space="preserve">Sin embargo, la ley es muy clara en el sentido de que dicho desalojo no constituye la finalización del acuerdo y no dispensa al operador del requerimiento de iniciar un proceso judicial para dar por finalizado el acuerdo de admisión. </w:t>
      </w:r>
    </w:p>
    <w:p w:rsidR="00FF4F95" w:rsidRPr="0065074B" w:rsidRDefault="00FF4F95" w:rsidP="003D4E55">
      <w:pPr>
        <w:widowControl w:val="0"/>
        <w:autoSpaceDE w:val="0"/>
        <w:autoSpaceDN w:val="0"/>
        <w:adjustRightInd w:val="0"/>
        <w:spacing w:before="18" w:after="0" w:line="240" w:lineRule="auto"/>
        <w:rPr>
          <w:rFonts w:ascii="Arial" w:hAnsi="Arial" w:cs="Arial"/>
          <w:sz w:val="20"/>
          <w:szCs w:val="20"/>
        </w:rPr>
      </w:pPr>
    </w:p>
    <w:p w:rsidR="00FF4F95" w:rsidRPr="0065074B" w:rsidRDefault="00A35D9B" w:rsidP="003D4E55">
      <w:pPr>
        <w:widowControl w:val="0"/>
        <w:autoSpaceDE w:val="0"/>
        <w:autoSpaceDN w:val="0"/>
        <w:adjustRightInd w:val="0"/>
        <w:spacing w:after="0" w:line="240" w:lineRule="auto"/>
        <w:rPr>
          <w:rFonts w:ascii="Arial" w:hAnsi="Arial" w:cs="Arial"/>
          <w:sz w:val="20"/>
          <w:szCs w:val="20"/>
        </w:rPr>
      </w:pPr>
      <w:r w:rsidRPr="0065074B">
        <w:rPr>
          <w:rFonts w:ascii="Arial" w:hAnsi="Arial"/>
          <w:b/>
          <w:sz w:val="20"/>
        </w:rPr>
        <w:t>¿</w:t>
      </w:r>
      <w:r w:rsidRPr="00E444F8">
        <w:rPr>
          <w:rFonts w:ascii="Arial" w:hAnsi="Arial"/>
          <w:b/>
          <w:caps/>
          <w:sz w:val="20"/>
        </w:rPr>
        <w:t>Qué tipos de papelería se requiere para qu</w:t>
      </w:r>
      <w:r w:rsidR="00F276F7">
        <w:rPr>
          <w:rFonts w:ascii="Arial" w:hAnsi="Arial"/>
          <w:b/>
          <w:caps/>
          <w:sz w:val="20"/>
        </w:rPr>
        <w:t>E</w:t>
      </w:r>
      <w:r w:rsidRPr="00E444F8">
        <w:rPr>
          <w:rFonts w:ascii="Arial" w:hAnsi="Arial"/>
          <w:b/>
          <w:caps/>
          <w:sz w:val="20"/>
        </w:rPr>
        <w:t xml:space="preserve"> </w:t>
      </w:r>
      <w:r w:rsidR="00F276F7">
        <w:rPr>
          <w:rFonts w:ascii="Arial" w:hAnsi="Arial"/>
          <w:b/>
          <w:caps/>
          <w:sz w:val="20"/>
        </w:rPr>
        <w:t xml:space="preserve">el </w:t>
      </w:r>
      <w:r w:rsidRPr="00E444F8">
        <w:rPr>
          <w:rFonts w:ascii="Arial" w:hAnsi="Arial"/>
          <w:b/>
          <w:caps/>
          <w:sz w:val="20"/>
        </w:rPr>
        <w:t>residente de un hogar para adultos sea dado de alta del hospital y regrese al hogar</w:t>
      </w:r>
      <w:r w:rsidRPr="0065074B">
        <w:rPr>
          <w:rFonts w:ascii="Arial" w:hAnsi="Arial"/>
          <w:b/>
          <w:sz w:val="20"/>
        </w:rPr>
        <w:t>?</w:t>
      </w:r>
    </w:p>
    <w:p w:rsidR="00A35D9B" w:rsidRPr="0065074B" w:rsidRDefault="00A35D9B" w:rsidP="003D4E55">
      <w:pPr>
        <w:widowControl w:val="0"/>
        <w:autoSpaceDE w:val="0"/>
        <w:autoSpaceDN w:val="0"/>
        <w:adjustRightInd w:val="0"/>
        <w:spacing w:after="0" w:line="240" w:lineRule="auto"/>
        <w:rPr>
          <w:rFonts w:ascii="Arial" w:hAnsi="Arial" w:cs="Arial"/>
          <w:sz w:val="20"/>
          <w:szCs w:val="20"/>
        </w:rPr>
      </w:pPr>
    </w:p>
    <w:p w:rsidR="00B156EC" w:rsidRPr="0065074B" w:rsidRDefault="00FF4F95" w:rsidP="00F276F7">
      <w:pPr>
        <w:widowControl w:val="0"/>
        <w:autoSpaceDE w:val="0"/>
        <w:autoSpaceDN w:val="0"/>
        <w:adjustRightInd w:val="0"/>
        <w:spacing w:after="0" w:line="240" w:lineRule="auto"/>
        <w:rPr>
          <w:rFonts w:ascii="Arial" w:hAnsi="Arial" w:cs="Arial"/>
          <w:sz w:val="20"/>
          <w:szCs w:val="20"/>
        </w:rPr>
      </w:pPr>
      <w:r w:rsidRPr="0065074B">
        <w:rPr>
          <w:rFonts w:ascii="Arial" w:hAnsi="Arial"/>
          <w:sz w:val="20"/>
        </w:rPr>
        <w:t>El formulario estándar requerido por un hogar de adultos es el DSS-31</w:t>
      </w:r>
      <w:r w:rsidR="00F276F7">
        <w:rPr>
          <w:rFonts w:ascii="Arial" w:hAnsi="Arial"/>
          <w:sz w:val="20"/>
        </w:rPr>
        <w:t>22</w:t>
      </w:r>
      <w:r w:rsidR="0065074B">
        <w:rPr>
          <w:rFonts w:ascii="Arial" w:hAnsi="Arial"/>
          <w:sz w:val="20"/>
        </w:rPr>
        <w:t xml:space="preserve">. </w:t>
      </w:r>
      <w:r w:rsidRPr="0065074B">
        <w:rPr>
          <w:rFonts w:ascii="Arial" w:hAnsi="Arial"/>
          <w:sz w:val="20"/>
        </w:rPr>
        <w:t>Este formulario de dos páginas incluye</w:t>
      </w:r>
      <w:r w:rsidR="00F276F7">
        <w:rPr>
          <w:rFonts w:ascii="Arial" w:hAnsi="Arial"/>
          <w:sz w:val="20"/>
        </w:rPr>
        <w:t xml:space="preserve"> </w:t>
      </w:r>
      <w:r w:rsidRPr="0065074B">
        <w:rPr>
          <w:rFonts w:ascii="Arial" w:hAnsi="Arial"/>
          <w:sz w:val="20"/>
        </w:rPr>
        <w:t xml:space="preserve">una evaluación médica. Lo mejor que puede hacer el hospital es completar este formulario con la mayor cantidad de detalles posible, incluyendo las necesidades médicas y de medicación del residente al momento del alta, así el hogar de adultos tiene toda la información necesaria para readmitir al residente. </w:t>
      </w:r>
    </w:p>
    <w:p w:rsidR="00B156EC" w:rsidRPr="0065074B" w:rsidRDefault="00B156EC" w:rsidP="003D4E55">
      <w:pPr>
        <w:widowControl w:val="0"/>
        <w:autoSpaceDE w:val="0"/>
        <w:autoSpaceDN w:val="0"/>
        <w:adjustRightInd w:val="0"/>
        <w:spacing w:after="0" w:line="240" w:lineRule="auto"/>
        <w:ind w:right="85"/>
        <w:rPr>
          <w:rFonts w:ascii="Arial" w:hAnsi="Arial" w:cs="Arial"/>
          <w:sz w:val="20"/>
          <w:szCs w:val="20"/>
        </w:rPr>
      </w:pPr>
    </w:p>
    <w:p w:rsidR="00B156EC" w:rsidRPr="0065074B" w:rsidRDefault="00B156EC" w:rsidP="003D4E55">
      <w:pPr>
        <w:spacing w:line="240" w:lineRule="auto"/>
        <w:rPr>
          <w:rFonts w:ascii="Arial" w:hAnsi="Arial" w:cs="Arial"/>
          <w:sz w:val="20"/>
          <w:szCs w:val="20"/>
        </w:rPr>
      </w:pPr>
      <w:r w:rsidRPr="0065074B">
        <w:rPr>
          <w:rFonts w:ascii="Arial" w:hAnsi="Arial"/>
          <w:sz w:val="20"/>
        </w:rPr>
        <w:t>Cuando un residente ha estado internado en un hospital psiquiátrico y está listo para ser dado de alta y volver a un hogar de adultos, o en donde el residente haya sido atendido por su incapacidad psiquiátrica crónica, el hospital debe realizar una evaluación de salud mental y enviar los resultados al hogar de adultos, junto con el formulario DSS-3122</w:t>
      </w:r>
      <w:r w:rsidR="0065074B">
        <w:rPr>
          <w:rFonts w:ascii="Arial" w:hAnsi="Arial"/>
          <w:sz w:val="20"/>
        </w:rPr>
        <w:t xml:space="preserve">. </w:t>
      </w:r>
      <w:r w:rsidRPr="0065074B">
        <w:rPr>
          <w:rFonts w:ascii="Arial" w:hAnsi="Arial"/>
          <w:sz w:val="20"/>
        </w:rPr>
        <w:t xml:space="preserve">Guarde copia de la papelería presentada (confirmación de fax o recibo de correo certificado). Esta evaluación de salud mental debe estar firmada al menos por un psiquiatra, médico, enfermero registrado, psicólogo, o trabajador social del certificado, y </w:t>
      </w:r>
      <w:r w:rsidRPr="00F276F7">
        <w:rPr>
          <w:rFonts w:ascii="Arial" w:hAnsi="Arial"/>
          <w:b/>
          <w:sz w:val="20"/>
          <w:u w:val="single"/>
        </w:rPr>
        <w:t>debe</w:t>
      </w:r>
      <w:r w:rsidRPr="0065074B">
        <w:rPr>
          <w:rFonts w:ascii="Arial" w:hAnsi="Arial"/>
          <w:sz w:val="20"/>
        </w:rPr>
        <w:t xml:space="preserve"> incluir la siguiente información:</w:t>
      </w:r>
    </w:p>
    <w:p w:rsidR="00B156EC" w:rsidRPr="0065074B" w:rsidRDefault="00B156EC" w:rsidP="003D4E55">
      <w:pPr>
        <w:widowControl w:val="0"/>
        <w:numPr>
          <w:ilvl w:val="0"/>
          <w:numId w:val="1"/>
        </w:numPr>
        <w:autoSpaceDE w:val="0"/>
        <w:autoSpaceDN w:val="0"/>
        <w:adjustRightInd w:val="0"/>
        <w:spacing w:line="240" w:lineRule="auto"/>
        <w:rPr>
          <w:rFonts w:ascii="Arial" w:hAnsi="Arial" w:cs="Arial"/>
          <w:color w:val="000000"/>
          <w:sz w:val="20"/>
          <w:szCs w:val="20"/>
        </w:rPr>
      </w:pPr>
      <w:r w:rsidRPr="0065074B">
        <w:rPr>
          <w:rFonts w:ascii="Arial" w:hAnsi="Arial"/>
          <w:color w:val="000000"/>
          <w:sz w:val="20"/>
        </w:rPr>
        <w:t>la fecha de la evaluación de salud mental;</w:t>
      </w:r>
    </w:p>
    <w:p w:rsidR="00B156EC" w:rsidRPr="0065074B" w:rsidRDefault="00B156EC" w:rsidP="003D4E55">
      <w:pPr>
        <w:widowControl w:val="0"/>
        <w:autoSpaceDE w:val="0"/>
        <w:autoSpaceDN w:val="0"/>
        <w:adjustRightInd w:val="0"/>
        <w:spacing w:line="240" w:lineRule="auto"/>
        <w:ind w:left="360"/>
        <w:rPr>
          <w:rFonts w:ascii="Arial" w:hAnsi="Arial" w:cs="Arial"/>
          <w:color w:val="000000"/>
          <w:sz w:val="20"/>
          <w:szCs w:val="20"/>
        </w:rPr>
      </w:pPr>
      <w:r w:rsidRPr="0065074B">
        <w:rPr>
          <w:rFonts w:ascii="Arial" w:hAnsi="Arial"/>
          <w:color w:val="000000"/>
          <w:sz w:val="20"/>
        </w:rPr>
        <w:t>(2)</w:t>
      </w:r>
      <w:r w:rsidRPr="0065074B">
        <w:t xml:space="preserve"> </w:t>
      </w:r>
      <w:r w:rsidRPr="0065074B">
        <w:rPr>
          <w:rFonts w:ascii="Arial" w:hAnsi="Arial"/>
          <w:color w:val="000000"/>
          <w:sz w:val="20"/>
        </w:rPr>
        <w:t>los antecedentes de salud mental importantes del paciente/residente y su actual condición, que incluye si el residente tiene una enfermedad mental grave;</w:t>
      </w:r>
    </w:p>
    <w:p w:rsidR="00B156EC" w:rsidRDefault="00B156EC" w:rsidP="003D4E55">
      <w:pPr>
        <w:widowControl w:val="0"/>
        <w:autoSpaceDE w:val="0"/>
        <w:autoSpaceDN w:val="0"/>
        <w:adjustRightInd w:val="0"/>
        <w:spacing w:line="240" w:lineRule="auto"/>
        <w:ind w:left="360"/>
        <w:rPr>
          <w:rFonts w:ascii="Arial" w:hAnsi="Arial"/>
          <w:color w:val="000000"/>
          <w:sz w:val="20"/>
        </w:rPr>
      </w:pPr>
      <w:r w:rsidRPr="0065074B">
        <w:rPr>
          <w:rFonts w:ascii="Arial" w:hAnsi="Arial"/>
          <w:color w:val="000000"/>
          <w:sz w:val="20"/>
        </w:rPr>
        <w:t>(3) una declaración de que las necesidades de salud mental del residente pueden ser adecuadamente satisfechas en la institución, y una declaración de que el residente "no presenta necesidad de ser ubicado en un centro residencial de tratamiento";</w:t>
      </w:r>
    </w:p>
    <w:p w:rsidR="00E22FE7" w:rsidRPr="0065074B" w:rsidRDefault="00E22FE7" w:rsidP="003D4E55">
      <w:pPr>
        <w:widowControl w:val="0"/>
        <w:autoSpaceDE w:val="0"/>
        <w:autoSpaceDN w:val="0"/>
        <w:adjustRightInd w:val="0"/>
        <w:spacing w:line="240" w:lineRule="auto"/>
        <w:ind w:left="360"/>
        <w:rPr>
          <w:rFonts w:ascii="Arial" w:hAnsi="Arial" w:cs="Arial"/>
          <w:color w:val="000000"/>
          <w:sz w:val="20"/>
          <w:szCs w:val="20"/>
        </w:rPr>
      </w:pPr>
    </w:p>
    <w:p w:rsidR="00E833C5" w:rsidRPr="0065074B" w:rsidRDefault="00B156EC" w:rsidP="003D4E55">
      <w:pPr>
        <w:widowControl w:val="0"/>
        <w:autoSpaceDE w:val="0"/>
        <w:autoSpaceDN w:val="0"/>
        <w:adjustRightInd w:val="0"/>
        <w:spacing w:line="240" w:lineRule="auto"/>
        <w:ind w:left="360"/>
        <w:rPr>
          <w:rFonts w:ascii="Arial" w:hAnsi="Arial" w:cs="Arial"/>
          <w:color w:val="000000"/>
          <w:sz w:val="20"/>
          <w:szCs w:val="20"/>
        </w:rPr>
      </w:pPr>
      <w:r w:rsidRPr="0065074B">
        <w:rPr>
          <w:rFonts w:ascii="Arial" w:hAnsi="Arial"/>
          <w:color w:val="000000"/>
          <w:sz w:val="20"/>
        </w:rPr>
        <w:lastRenderedPageBreak/>
        <w:t xml:space="preserve">(4) una declaración de que la persona que firma los informes ha realizado una evaluación en persona del residente dentro de los 30 días de [readmisión al hogar de adultos]. </w:t>
      </w:r>
    </w:p>
    <w:p w:rsidR="00FF4F95" w:rsidRPr="0065074B" w:rsidRDefault="00FF4F95" w:rsidP="003D4E55">
      <w:pPr>
        <w:widowControl w:val="0"/>
        <w:autoSpaceDE w:val="0"/>
        <w:autoSpaceDN w:val="0"/>
        <w:adjustRightInd w:val="0"/>
        <w:spacing w:line="240" w:lineRule="auto"/>
        <w:rPr>
          <w:rFonts w:ascii="Arial" w:hAnsi="Arial" w:cs="Arial"/>
          <w:sz w:val="20"/>
          <w:szCs w:val="20"/>
        </w:rPr>
      </w:pPr>
      <w:r w:rsidRPr="0065074B">
        <w:rPr>
          <w:rFonts w:ascii="Arial" w:hAnsi="Arial"/>
          <w:b/>
          <w:sz w:val="20"/>
        </w:rPr>
        <w:t>Documentación de alta incompleta o inespecífica podría causar demoras en la reincorporación del residente a su hogar.</w:t>
      </w:r>
    </w:p>
    <w:p w:rsidR="00FF4F95" w:rsidRPr="0065074B" w:rsidRDefault="00A35D9B" w:rsidP="003D4E55">
      <w:pPr>
        <w:widowControl w:val="0"/>
        <w:autoSpaceDE w:val="0"/>
        <w:autoSpaceDN w:val="0"/>
        <w:adjustRightInd w:val="0"/>
        <w:spacing w:after="0" w:line="240" w:lineRule="auto"/>
        <w:ind w:right="493"/>
        <w:rPr>
          <w:rFonts w:ascii="Arial" w:hAnsi="Arial" w:cs="Arial"/>
          <w:b/>
          <w:bCs/>
          <w:sz w:val="20"/>
          <w:szCs w:val="20"/>
        </w:rPr>
      </w:pPr>
      <w:r w:rsidRPr="0065074B">
        <w:rPr>
          <w:rFonts w:ascii="Arial" w:hAnsi="Arial"/>
          <w:b/>
          <w:sz w:val="20"/>
        </w:rPr>
        <w:t>¿</w:t>
      </w:r>
      <w:r w:rsidRPr="00E444F8">
        <w:rPr>
          <w:rFonts w:ascii="Arial" w:hAnsi="Arial"/>
          <w:b/>
          <w:caps/>
          <w:sz w:val="20"/>
        </w:rPr>
        <w:t>Qué debo hacer si un hogar de adultos insiste en que mi cliente debe someterse a una entrevista DE REEVALUACIÓN ANTES de que se le permita volver al hogar</w:t>
      </w:r>
      <w:r w:rsidRPr="0065074B">
        <w:rPr>
          <w:rFonts w:ascii="Arial" w:hAnsi="Arial"/>
          <w:b/>
          <w:sz w:val="20"/>
        </w:rPr>
        <w:t>?</w:t>
      </w:r>
    </w:p>
    <w:p w:rsidR="00A35D9B" w:rsidRPr="0065074B" w:rsidRDefault="00A35D9B" w:rsidP="003D4E55">
      <w:pPr>
        <w:widowControl w:val="0"/>
        <w:autoSpaceDE w:val="0"/>
        <w:autoSpaceDN w:val="0"/>
        <w:adjustRightInd w:val="0"/>
        <w:spacing w:after="0" w:line="240" w:lineRule="auto"/>
        <w:ind w:right="493"/>
        <w:rPr>
          <w:rFonts w:ascii="Arial" w:hAnsi="Arial" w:cs="Arial"/>
          <w:sz w:val="20"/>
          <w:szCs w:val="20"/>
        </w:rPr>
      </w:pPr>
    </w:p>
    <w:p w:rsidR="00FF4F95" w:rsidRPr="0065074B" w:rsidRDefault="00FF4F95" w:rsidP="00F276F7">
      <w:pPr>
        <w:widowControl w:val="0"/>
        <w:autoSpaceDE w:val="0"/>
        <w:autoSpaceDN w:val="0"/>
        <w:adjustRightInd w:val="0"/>
        <w:spacing w:after="0" w:line="240" w:lineRule="auto"/>
        <w:rPr>
          <w:rFonts w:ascii="Arial" w:hAnsi="Arial" w:cs="Arial"/>
          <w:sz w:val="20"/>
          <w:szCs w:val="20"/>
        </w:rPr>
      </w:pPr>
      <w:r w:rsidRPr="0065074B">
        <w:rPr>
          <w:rFonts w:ascii="Arial" w:hAnsi="Arial"/>
          <w:sz w:val="20"/>
        </w:rPr>
        <w:t>A pesar de que muchos hogares para adultos solicitarán que los residentes realicen una entrevista de re-evaluación, esto no es exigido por la</w:t>
      </w:r>
      <w:r w:rsidR="00F276F7">
        <w:rPr>
          <w:rFonts w:ascii="Arial" w:hAnsi="Arial"/>
          <w:sz w:val="20"/>
        </w:rPr>
        <w:t xml:space="preserve"> </w:t>
      </w:r>
      <w:r w:rsidRPr="0065074B">
        <w:rPr>
          <w:rFonts w:ascii="Arial" w:hAnsi="Arial"/>
          <w:sz w:val="20"/>
        </w:rPr>
        <w:t>ley. Las regulaciones vigentes de los hogares para adultos indican que: “Cuando las bases de una transferencia ya no existan, y se considere pertinente la ubicación del residente en el centro, el operador deberá readmitirlo, aun cuando el proceso de finalización de acuerdo involuntario haya comenzado”</w:t>
      </w:r>
      <w:r w:rsidR="0065074B">
        <w:rPr>
          <w:rFonts w:ascii="Arial" w:hAnsi="Arial"/>
          <w:sz w:val="20"/>
        </w:rPr>
        <w:t xml:space="preserve">. </w:t>
      </w:r>
      <w:r w:rsidRPr="0065074B">
        <w:rPr>
          <w:rFonts w:ascii="Arial" w:hAnsi="Arial"/>
          <w:sz w:val="20"/>
        </w:rPr>
        <w:t xml:space="preserve">Es importante asegurarse que </w:t>
      </w:r>
      <w:r w:rsidR="00F276F7">
        <w:rPr>
          <w:rFonts w:ascii="Arial" w:hAnsi="Arial"/>
          <w:sz w:val="20"/>
        </w:rPr>
        <w:t xml:space="preserve">el </w:t>
      </w:r>
      <w:r w:rsidRPr="0065074B">
        <w:rPr>
          <w:rFonts w:ascii="Arial" w:hAnsi="Arial"/>
          <w:sz w:val="20"/>
        </w:rPr>
        <w:t>residente está listo para su alta y que la documentación de alta ha sido debidamente proporcionada antes continuar con los siguientes pasos.</w:t>
      </w:r>
    </w:p>
    <w:p w:rsidR="00FF4F95" w:rsidRPr="0065074B" w:rsidRDefault="00FF4F95" w:rsidP="003D4E55">
      <w:pPr>
        <w:widowControl w:val="0"/>
        <w:autoSpaceDE w:val="0"/>
        <w:autoSpaceDN w:val="0"/>
        <w:adjustRightInd w:val="0"/>
        <w:spacing w:before="18" w:after="0" w:line="240" w:lineRule="auto"/>
        <w:rPr>
          <w:rFonts w:ascii="Arial" w:hAnsi="Arial" w:cs="Arial"/>
          <w:sz w:val="20"/>
          <w:szCs w:val="20"/>
        </w:rPr>
      </w:pPr>
    </w:p>
    <w:p w:rsidR="00FF4F95" w:rsidRPr="0065074B" w:rsidRDefault="00A35D9B" w:rsidP="003D4E55">
      <w:pPr>
        <w:widowControl w:val="0"/>
        <w:autoSpaceDE w:val="0"/>
        <w:autoSpaceDN w:val="0"/>
        <w:adjustRightInd w:val="0"/>
        <w:spacing w:after="0" w:line="240" w:lineRule="auto"/>
        <w:ind w:right="101"/>
        <w:rPr>
          <w:rFonts w:ascii="Arial" w:hAnsi="Arial" w:cs="Arial"/>
          <w:b/>
          <w:bCs/>
          <w:sz w:val="20"/>
          <w:szCs w:val="20"/>
        </w:rPr>
      </w:pPr>
      <w:r w:rsidRPr="0065074B">
        <w:rPr>
          <w:rFonts w:ascii="Arial" w:hAnsi="Arial"/>
          <w:b/>
          <w:sz w:val="20"/>
        </w:rPr>
        <w:t>¿</w:t>
      </w:r>
      <w:r w:rsidRPr="00E444F8">
        <w:rPr>
          <w:rFonts w:ascii="Arial" w:hAnsi="Arial"/>
          <w:b/>
          <w:caps/>
          <w:sz w:val="20"/>
        </w:rPr>
        <w:t>Qué debo RESPONDER si el hogar de adultos insiste en que el residente debe realizar una entrevista de re-evaluación</w:t>
      </w:r>
      <w:r w:rsidRPr="0065074B">
        <w:rPr>
          <w:rFonts w:ascii="Arial" w:hAnsi="Arial"/>
          <w:b/>
          <w:sz w:val="20"/>
        </w:rPr>
        <w:t>?</w:t>
      </w:r>
    </w:p>
    <w:p w:rsidR="00A35D9B" w:rsidRPr="0065074B" w:rsidRDefault="00A35D9B" w:rsidP="003D4E55">
      <w:pPr>
        <w:widowControl w:val="0"/>
        <w:autoSpaceDE w:val="0"/>
        <w:autoSpaceDN w:val="0"/>
        <w:adjustRightInd w:val="0"/>
        <w:spacing w:after="0" w:line="240" w:lineRule="auto"/>
        <w:ind w:right="101"/>
        <w:rPr>
          <w:rFonts w:ascii="Arial" w:hAnsi="Arial" w:cs="Arial"/>
          <w:sz w:val="20"/>
          <w:szCs w:val="20"/>
        </w:rPr>
      </w:pPr>
    </w:p>
    <w:p w:rsidR="00FF4F95" w:rsidRPr="00F276F7" w:rsidRDefault="00FF4F95" w:rsidP="00F276F7">
      <w:pPr>
        <w:pStyle w:val="ListParagraph"/>
        <w:widowControl w:val="0"/>
        <w:numPr>
          <w:ilvl w:val="0"/>
          <w:numId w:val="2"/>
        </w:numPr>
        <w:tabs>
          <w:tab w:val="left" w:pos="1540"/>
        </w:tabs>
        <w:autoSpaceDE w:val="0"/>
        <w:autoSpaceDN w:val="0"/>
        <w:adjustRightInd w:val="0"/>
        <w:spacing w:before="19" w:line="240" w:lineRule="auto"/>
        <w:ind w:left="1260" w:right="173"/>
        <w:rPr>
          <w:rFonts w:ascii="Arial" w:hAnsi="Arial" w:cs="Arial"/>
          <w:sz w:val="20"/>
          <w:szCs w:val="20"/>
        </w:rPr>
      </w:pPr>
      <w:r w:rsidRPr="00F276F7">
        <w:rPr>
          <w:rFonts w:ascii="Arial" w:hAnsi="Arial"/>
          <w:sz w:val="20"/>
          <w:szCs w:val="20"/>
        </w:rPr>
        <w:t>“Una entrevista de evaluación es innecesaria. El hospital/médico/equipo médico ya ha determinado que el residente está listo para ser dado de alta."</w:t>
      </w:r>
    </w:p>
    <w:p w:rsidR="00FF4F95" w:rsidRPr="00F276F7" w:rsidRDefault="00FF4F95" w:rsidP="00F276F7">
      <w:pPr>
        <w:pStyle w:val="ListParagraph"/>
        <w:widowControl w:val="0"/>
        <w:numPr>
          <w:ilvl w:val="0"/>
          <w:numId w:val="2"/>
        </w:numPr>
        <w:tabs>
          <w:tab w:val="left" w:pos="1540"/>
        </w:tabs>
        <w:autoSpaceDE w:val="0"/>
        <w:autoSpaceDN w:val="0"/>
        <w:adjustRightInd w:val="0"/>
        <w:spacing w:before="19" w:line="240" w:lineRule="auto"/>
        <w:ind w:left="1260" w:right="173"/>
        <w:rPr>
          <w:rFonts w:ascii="Arial" w:hAnsi="Arial"/>
          <w:sz w:val="20"/>
          <w:szCs w:val="20"/>
        </w:rPr>
      </w:pPr>
      <w:r w:rsidRPr="00F276F7">
        <w:rPr>
          <w:rFonts w:ascii="Arial" w:hAnsi="Arial"/>
          <w:sz w:val="20"/>
          <w:szCs w:val="20"/>
        </w:rPr>
        <w:t>“Ley no exige una entrevista de re-evaluación.”</w:t>
      </w:r>
    </w:p>
    <w:p w:rsidR="00FF4F95" w:rsidRPr="00F276F7" w:rsidRDefault="00FF4F95" w:rsidP="00F276F7">
      <w:pPr>
        <w:pStyle w:val="ListParagraph"/>
        <w:widowControl w:val="0"/>
        <w:numPr>
          <w:ilvl w:val="0"/>
          <w:numId w:val="2"/>
        </w:numPr>
        <w:tabs>
          <w:tab w:val="left" w:pos="1520"/>
        </w:tabs>
        <w:autoSpaceDE w:val="0"/>
        <w:autoSpaceDN w:val="0"/>
        <w:adjustRightInd w:val="0"/>
        <w:spacing w:before="19" w:line="240" w:lineRule="auto"/>
        <w:ind w:left="1260" w:right="173"/>
        <w:rPr>
          <w:rFonts w:ascii="Arial" w:hAnsi="Arial" w:cs="Arial"/>
          <w:sz w:val="20"/>
          <w:szCs w:val="20"/>
        </w:rPr>
      </w:pPr>
      <w:r w:rsidRPr="00F276F7">
        <w:rPr>
          <w:rFonts w:ascii="Arial" w:hAnsi="Arial"/>
          <w:sz w:val="20"/>
          <w:szCs w:val="20"/>
        </w:rPr>
        <w:t>“Por ley, el hogar tiene la obligación de recibir al residente cuando esté listo para su alta. Una entrevista de re-evaluación no cambiara eso.”</w:t>
      </w:r>
    </w:p>
    <w:p w:rsidR="00FF4F95" w:rsidRPr="00F276F7" w:rsidRDefault="00FF4F95" w:rsidP="00F276F7">
      <w:pPr>
        <w:pStyle w:val="ListParagraph"/>
        <w:widowControl w:val="0"/>
        <w:numPr>
          <w:ilvl w:val="0"/>
          <w:numId w:val="2"/>
        </w:numPr>
        <w:tabs>
          <w:tab w:val="left" w:pos="1540"/>
        </w:tabs>
        <w:autoSpaceDE w:val="0"/>
        <w:autoSpaceDN w:val="0"/>
        <w:adjustRightInd w:val="0"/>
        <w:spacing w:before="19" w:line="240" w:lineRule="auto"/>
        <w:ind w:left="1260" w:right="173"/>
        <w:rPr>
          <w:rFonts w:ascii="Arial" w:hAnsi="Arial"/>
          <w:sz w:val="20"/>
          <w:szCs w:val="20"/>
        </w:rPr>
      </w:pPr>
      <w:r w:rsidRPr="00F276F7">
        <w:rPr>
          <w:rFonts w:ascii="Arial" w:hAnsi="Arial"/>
          <w:sz w:val="20"/>
          <w:szCs w:val="20"/>
        </w:rPr>
        <w:t xml:space="preserve">“Otros hogares de admiten a sus residentes </w:t>
      </w:r>
      <w:r w:rsidR="00F276F7">
        <w:rPr>
          <w:rFonts w:ascii="Arial" w:hAnsi="Arial"/>
          <w:sz w:val="20"/>
          <w:szCs w:val="20"/>
        </w:rPr>
        <w:t>sin necesidad de re-evaluarlos.”</w:t>
      </w:r>
    </w:p>
    <w:p w:rsidR="00FF4F95" w:rsidRPr="0065074B" w:rsidRDefault="00FF4F95" w:rsidP="003D4E55">
      <w:pPr>
        <w:widowControl w:val="0"/>
        <w:autoSpaceDE w:val="0"/>
        <w:autoSpaceDN w:val="0"/>
        <w:adjustRightInd w:val="0"/>
        <w:spacing w:before="18" w:after="0" w:line="240" w:lineRule="auto"/>
        <w:rPr>
          <w:rFonts w:ascii="Arial" w:hAnsi="Arial" w:cs="Arial"/>
          <w:sz w:val="20"/>
          <w:szCs w:val="20"/>
        </w:rPr>
      </w:pPr>
    </w:p>
    <w:p w:rsidR="00FF4F95" w:rsidRPr="0065074B" w:rsidRDefault="00A35D9B" w:rsidP="003D4E55">
      <w:pPr>
        <w:widowControl w:val="0"/>
        <w:autoSpaceDE w:val="0"/>
        <w:autoSpaceDN w:val="0"/>
        <w:adjustRightInd w:val="0"/>
        <w:spacing w:after="0" w:line="240" w:lineRule="auto"/>
        <w:rPr>
          <w:rFonts w:ascii="Arial" w:hAnsi="Arial" w:cs="Arial"/>
          <w:sz w:val="20"/>
          <w:szCs w:val="20"/>
        </w:rPr>
      </w:pPr>
      <w:r w:rsidRPr="0065074B">
        <w:rPr>
          <w:rFonts w:ascii="Arial" w:hAnsi="Arial"/>
          <w:b/>
          <w:sz w:val="20"/>
        </w:rPr>
        <w:t>¿</w:t>
      </w:r>
      <w:r w:rsidRPr="00E444F8">
        <w:rPr>
          <w:rFonts w:ascii="Arial" w:hAnsi="Arial"/>
          <w:b/>
          <w:caps/>
          <w:sz w:val="20"/>
        </w:rPr>
        <w:t>Qué debo hacer si el hogar de adultos no admite a mi cliente</w:t>
      </w:r>
      <w:r w:rsidRPr="0065074B">
        <w:rPr>
          <w:rFonts w:ascii="Arial" w:hAnsi="Arial"/>
          <w:b/>
          <w:sz w:val="20"/>
        </w:rPr>
        <w:t>?</w:t>
      </w:r>
    </w:p>
    <w:p w:rsidR="00A35D9B" w:rsidRPr="0065074B" w:rsidRDefault="00A35D9B" w:rsidP="003D4E55">
      <w:pPr>
        <w:widowControl w:val="0"/>
        <w:autoSpaceDE w:val="0"/>
        <w:autoSpaceDN w:val="0"/>
        <w:adjustRightInd w:val="0"/>
        <w:spacing w:after="0" w:line="240" w:lineRule="auto"/>
        <w:rPr>
          <w:rFonts w:ascii="Arial" w:hAnsi="Arial" w:cs="Arial"/>
          <w:sz w:val="20"/>
          <w:szCs w:val="20"/>
        </w:rPr>
      </w:pPr>
    </w:p>
    <w:p w:rsidR="00FF4F95" w:rsidRPr="0065074B" w:rsidRDefault="006B0D28" w:rsidP="006B0D28">
      <w:pPr>
        <w:widowControl w:val="0"/>
        <w:autoSpaceDE w:val="0"/>
        <w:autoSpaceDN w:val="0"/>
        <w:adjustRightInd w:val="0"/>
        <w:spacing w:after="0" w:line="240" w:lineRule="auto"/>
        <w:rPr>
          <w:rFonts w:ascii="Arial" w:hAnsi="Arial" w:cs="Arial"/>
          <w:sz w:val="20"/>
          <w:szCs w:val="20"/>
        </w:rPr>
      </w:pPr>
      <w:r>
        <w:rPr>
          <w:rFonts w:ascii="Arial" w:hAnsi="Arial"/>
          <w:sz w:val="20"/>
        </w:rPr>
        <w:t>Presente toda la</w:t>
      </w:r>
      <w:r w:rsidR="00FF4F95" w:rsidRPr="0065074B">
        <w:rPr>
          <w:rFonts w:ascii="Arial" w:hAnsi="Arial"/>
          <w:sz w:val="20"/>
        </w:rPr>
        <w:t xml:space="preserve"> documentación </w:t>
      </w:r>
      <w:r>
        <w:rPr>
          <w:rFonts w:ascii="Arial" w:hAnsi="Arial"/>
          <w:sz w:val="20"/>
        </w:rPr>
        <w:t xml:space="preserve">de alta </w:t>
      </w:r>
      <w:r w:rsidR="00FF4F95" w:rsidRPr="0065074B">
        <w:rPr>
          <w:rFonts w:ascii="Arial" w:hAnsi="Arial"/>
          <w:sz w:val="20"/>
        </w:rPr>
        <w:t>al hogar de adultos y pregúntele cuándo su cliente puede regresar. Si el</w:t>
      </w:r>
      <w:r>
        <w:rPr>
          <w:rFonts w:ascii="Arial" w:hAnsi="Arial"/>
          <w:sz w:val="20"/>
        </w:rPr>
        <w:t xml:space="preserve"> </w:t>
      </w:r>
      <w:r w:rsidR="00FF4F95" w:rsidRPr="0065074B">
        <w:rPr>
          <w:rFonts w:ascii="Arial" w:hAnsi="Arial"/>
          <w:sz w:val="20"/>
        </w:rPr>
        <w:t xml:space="preserve">hogar aún insiste en que residente no puede volver, pida al hogar de adultos que envíe una confirmación por escrito en la que se indique que no re-admitirá al residente. Llame inmediatamente </w:t>
      </w:r>
      <w:r w:rsidR="00FF4F95" w:rsidRPr="00E22FE7">
        <w:rPr>
          <w:rFonts w:ascii="Arial" w:hAnsi="Arial"/>
          <w:sz w:val="20"/>
        </w:rPr>
        <w:t>a MFJ al 877-417-2427.</w:t>
      </w:r>
    </w:p>
    <w:p w:rsidR="00E833C5" w:rsidRPr="0065074B" w:rsidRDefault="00E833C5" w:rsidP="003D4E55">
      <w:pPr>
        <w:widowControl w:val="0"/>
        <w:autoSpaceDE w:val="0"/>
        <w:autoSpaceDN w:val="0"/>
        <w:adjustRightInd w:val="0"/>
        <w:spacing w:after="0" w:line="240" w:lineRule="auto"/>
        <w:ind w:right="218"/>
        <w:rPr>
          <w:rFonts w:ascii="Arial" w:hAnsi="Arial" w:cs="Arial"/>
          <w:sz w:val="20"/>
          <w:szCs w:val="20"/>
        </w:rPr>
      </w:pPr>
    </w:p>
    <w:p w:rsidR="00FF4F95" w:rsidRPr="0065074B" w:rsidRDefault="00FF4F95" w:rsidP="003D4E55">
      <w:pPr>
        <w:widowControl w:val="0"/>
        <w:autoSpaceDE w:val="0"/>
        <w:autoSpaceDN w:val="0"/>
        <w:adjustRightInd w:val="0"/>
        <w:spacing w:after="0" w:line="240" w:lineRule="auto"/>
        <w:rPr>
          <w:rFonts w:ascii="Arial" w:hAnsi="Arial" w:cs="Arial"/>
          <w:b/>
          <w:bCs/>
          <w:sz w:val="20"/>
          <w:szCs w:val="20"/>
        </w:rPr>
      </w:pPr>
      <w:r w:rsidRPr="0065074B">
        <w:rPr>
          <w:rFonts w:ascii="Arial" w:hAnsi="Arial"/>
          <w:b/>
          <w:sz w:val="20"/>
        </w:rPr>
        <w:t>¿</w:t>
      </w:r>
      <w:r w:rsidRPr="00E444F8">
        <w:rPr>
          <w:rFonts w:ascii="Arial" w:hAnsi="Arial"/>
          <w:b/>
          <w:caps/>
          <w:sz w:val="20"/>
        </w:rPr>
        <w:t xml:space="preserve">Qué </w:t>
      </w:r>
      <w:r w:rsidR="006B0D28">
        <w:rPr>
          <w:rFonts w:ascii="Arial" w:hAnsi="Arial"/>
          <w:b/>
          <w:caps/>
          <w:sz w:val="20"/>
        </w:rPr>
        <w:t>debo decir</w:t>
      </w:r>
      <w:r w:rsidRPr="00E444F8">
        <w:rPr>
          <w:rFonts w:ascii="Arial" w:hAnsi="Arial"/>
          <w:b/>
          <w:caps/>
          <w:sz w:val="20"/>
        </w:rPr>
        <w:t xml:space="preserve"> si el hogar de adultos se rehúsa a re-admitir a un residente</w:t>
      </w:r>
      <w:r w:rsidRPr="0065074B">
        <w:rPr>
          <w:rFonts w:ascii="Arial" w:hAnsi="Arial"/>
          <w:b/>
          <w:sz w:val="20"/>
        </w:rPr>
        <w:t>?</w:t>
      </w:r>
    </w:p>
    <w:p w:rsidR="00A35D9B" w:rsidRPr="0065074B" w:rsidRDefault="00A35D9B" w:rsidP="003D4E55">
      <w:pPr>
        <w:widowControl w:val="0"/>
        <w:autoSpaceDE w:val="0"/>
        <w:autoSpaceDN w:val="0"/>
        <w:adjustRightInd w:val="0"/>
        <w:spacing w:after="0" w:line="240" w:lineRule="auto"/>
        <w:rPr>
          <w:rFonts w:ascii="Arial" w:hAnsi="Arial" w:cs="Arial"/>
          <w:sz w:val="20"/>
          <w:szCs w:val="20"/>
        </w:rPr>
      </w:pPr>
    </w:p>
    <w:p w:rsidR="00FF4F95" w:rsidRPr="0065074B" w:rsidRDefault="00FF4F95" w:rsidP="006B0D28">
      <w:pPr>
        <w:pStyle w:val="ListParagraph"/>
        <w:widowControl w:val="0"/>
        <w:numPr>
          <w:ilvl w:val="0"/>
          <w:numId w:val="2"/>
        </w:numPr>
        <w:tabs>
          <w:tab w:val="left" w:pos="1540"/>
        </w:tabs>
        <w:autoSpaceDE w:val="0"/>
        <w:autoSpaceDN w:val="0"/>
        <w:adjustRightInd w:val="0"/>
        <w:spacing w:before="19" w:line="240" w:lineRule="auto"/>
        <w:ind w:left="1260" w:right="173"/>
        <w:rPr>
          <w:rFonts w:ascii="Arial" w:hAnsi="Arial" w:cs="Arial"/>
          <w:sz w:val="20"/>
          <w:szCs w:val="20"/>
        </w:rPr>
      </w:pPr>
      <w:r w:rsidRPr="0065074B">
        <w:rPr>
          <w:rFonts w:ascii="Arial" w:hAnsi="Arial"/>
          <w:sz w:val="20"/>
        </w:rPr>
        <w:t>“Tenemos un acuerdo de admisión vigente con el residente. Él/ella tiene el derecho de volver a su hogar."</w:t>
      </w:r>
    </w:p>
    <w:p w:rsidR="00FF4F95" w:rsidRPr="006B0D28" w:rsidRDefault="00FF4F95" w:rsidP="006B0D28">
      <w:pPr>
        <w:pStyle w:val="ListParagraph"/>
        <w:widowControl w:val="0"/>
        <w:numPr>
          <w:ilvl w:val="0"/>
          <w:numId w:val="2"/>
        </w:numPr>
        <w:tabs>
          <w:tab w:val="left" w:pos="1540"/>
        </w:tabs>
        <w:autoSpaceDE w:val="0"/>
        <w:autoSpaceDN w:val="0"/>
        <w:adjustRightInd w:val="0"/>
        <w:spacing w:before="19" w:line="240" w:lineRule="auto"/>
        <w:ind w:left="1260" w:right="173"/>
        <w:rPr>
          <w:rFonts w:ascii="Arial" w:hAnsi="Arial"/>
          <w:sz w:val="20"/>
        </w:rPr>
      </w:pPr>
      <w:r w:rsidRPr="0065074B">
        <w:rPr>
          <w:rFonts w:ascii="Arial" w:hAnsi="Arial"/>
          <w:sz w:val="20"/>
        </w:rPr>
        <w:t>“Hasta que el hogar no inicie una acción legal para finalizar el acuerdo de admisión de  [nombre del residente], el hogar no puede rehusarse a aceptarlo.”</w:t>
      </w:r>
    </w:p>
    <w:p w:rsidR="00FF4F95" w:rsidRPr="006B0D28" w:rsidRDefault="00FF4F95" w:rsidP="006B0D28">
      <w:pPr>
        <w:pStyle w:val="ListParagraph"/>
        <w:widowControl w:val="0"/>
        <w:numPr>
          <w:ilvl w:val="0"/>
          <w:numId w:val="2"/>
        </w:numPr>
        <w:tabs>
          <w:tab w:val="left" w:pos="1540"/>
        </w:tabs>
        <w:autoSpaceDE w:val="0"/>
        <w:autoSpaceDN w:val="0"/>
        <w:adjustRightInd w:val="0"/>
        <w:spacing w:before="19" w:line="240" w:lineRule="auto"/>
        <w:ind w:left="1260" w:right="173"/>
        <w:rPr>
          <w:rFonts w:ascii="Arial" w:hAnsi="Arial"/>
          <w:sz w:val="20"/>
        </w:rPr>
      </w:pPr>
      <w:r w:rsidRPr="006B0D28">
        <w:rPr>
          <w:rFonts w:ascii="Arial" w:hAnsi="Arial"/>
          <w:sz w:val="20"/>
        </w:rPr>
        <w:t>“Si ustedes no admiten a [nombre del residente] no me queda otra opción que comunicarme con MFJ. Este es un desalojo ilegal.”</w:t>
      </w:r>
    </w:p>
    <w:p w:rsidR="00307346" w:rsidRPr="0065074B" w:rsidRDefault="00307346" w:rsidP="003D4E55">
      <w:pPr>
        <w:widowControl w:val="0"/>
        <w:autoSpaceDE w:val="0"/>
        <w:autoSpaceDN w:val="0"/>
        <w:adjustRightInd w:val="0"/>
        <w:spacing w:before="19" w:after="0" w:line="240" w:lineRule="auto"/>
        <w:ind w:left="1541" w:hanging="360"/>
        <w:rPr>
          <w:rFonts w:ascii="Arial" w:hAnsi="Arial" w:cs="Arial"/>
          <w:sz w:val="20"/>
          <w:szCs w:val="20"/>
        </w:rPr>
      </w:pPr>
    </w:p>
    <w:p w:rsidR="00A35D9B" w:rsidRPr="0065074B" w:rsidRDefault="00A35D9B" w:rsidP="003D4E55">
      <w:pPr>
        <w:spacing w:line="240" w:lineRule="auto"/>
        <w:rPr>
          <w:rFonts w:ascii="Arial" w:hAnsi="Arial" w:cs="Arial"/>
          <w:b/>
          <w:bCs/>
          <w:sz w:val="20"/>
          <w:szCs w:val="20"/>
        </w:rPr>
      </w:pPr>
      <w:r w:rsidRPr="0065074B">
        <w:rPr>
          <w:rFonts w:ascii="Arial" w:hAnsi="Arial"/>
          <w:b/>
          <w:sz w:val="20"/>
        </w:rPr>
        <w:t xml:space="preserve">¿CON QUIÉN PUEDO PONERME EN CONTACTO SI TENGO ALGUNA PREGUNTA?  </w:t>
      </w:r>
    </w:p>
    <w:p w:rsidR="00A35D9B" w:rsidRPr="0065074B" w:rsidRDefault="00A35D9B" w:rsidP="003D4E55">
      <w:pPr>
        <w:spacing w:line="240" w:lineRule="auto"/>
        <w:rPr>
          <w:rFonts w:ascii="Arial" w:hAnsi="Arial" w:cs="Arial"/>
          <w:sz w:val="20"/>
          <w:szCs w:val="20"/>
        </w:rPr>
      </w:pPr>
      <w:r w:rsidRPr="0065074B">
        <w:rPr>
          <w:rFonts w:ascii="Arial" w:hAnsi="Arial"/>
          <w:sz w:val="20"/>
        </w:rPr>
        <w:t xml:space="preserve">Póngase en contacto con el Proyecto de defensa para residentes de hogares para adultos </w:t>
      </w:r>
      <w:r w:rsidRPr="00E22FE7">
        <w:rPr>
          <w:rFonts w:ascii="Arial" w:hAnsi="Arial"/>
          <w:sz w:val="20"/>
        </w:rPr>
        <w:t xml:space="preserve">de </w:t>
      </w:r>
      <w:proofErr w:type="spellStart"/>
      <w:r w:rsidRPr="00E22FE7">
        <w:rPr>
          <w:rFonts w:ascii="Arial" w:hAnsi="Arial"/>
          <w:sz w:val="20"/>
        </w:rPr>
        <w:t>Mobilization</w:t>
      </w:r>
      <w:proofErr w:type="spellEnd"/>
      <w:r w:rsidRPr="00E22FE7">
        <w:rPr>
          <w:rFonts w:ascii="Arial" w:hAnsi="Arial"/>
          <w:sz w:val="20"/>
        </w:rPr>
        <w:t xml:space="preserve"> </w:t>
      </w:r>
      <w:proofErr w:type="spellStart"/>
      <w:r w:rsidRPr="00E22FE7">
        <w:rPr>
          <w:rFonts w:ascii="Arial" w:hAnsi="Arial"/>
          <w:sz w:val="20"/>
        </w:rPr>
        <w:t>for</w:t>
      </w:r>
      <w:proofErr w:type="spellEnd"/>
      <w:r w:rsidRPr="00E22FE7">
        <w:rPr>
          <w:rFonts w:ascii="Arial" w:hAnsi="Arial"/>
          <w:sz w:val="20"/>
        </w:rPr>
        <w:t xml:space="preserve"> </w:t>
      </w:r>
      <w:proofErr w:type="spellStart"/>
      <w:r w:rsidRPr="00E22FE7">
        <w:rPr>
          <w:rFonts w:ascii="Arial" w:hAnsi="Arial"/>
          <w:sz w:val="20"/>
        </w:rPr>
        <w:t>Justice</w:t>
      </w:r>
      <w:proofErr w:type="spellEnd"/>
      <w:r w:rsidRPr="00E22FE7">
        <w:rPr>
          <w:rFonts w:ascii="Arial" w:hAnsi="Arial"/>
          <w:sz w:val="20"/>
        </w:rPr>
        <w:t xml:space="preserve"> al 877-417-2427 (llamada gratuita), de lunes a viernes de 10 am a 5 pm.</w:t>
      </w:r>
    </w:p>
    <w:p w:rsidR="00EE3A24" w:rsidRPr="0065074B" w:rsidRDefault="00EE3A24" w:rsidP="003D4E55">
      <w:pPr>
        <w:spacing w:after="0" w:line="240" w:lineRule="auto"/>
        <w:jc w:val="center"/>
        <w:rPr>
          <w:rFonts w:ascii="Arial" w:hAnsi="Arial" w:cs="Arial"/>
          <w:b/>
          <w:bCs/>
          <w:sz w:val="14"/>
          <w:szCs w:val="28"/>
        </w:rPr>
      </w:pPr>
    </w:p>
    <w:p w:rsidR="00E57E9D" w:rsidRPr="0065074B" w:rsidRDefault="00E57E9D" w:rsidP="003D4E55">
      <w:pPr>
        <w:spacing w:after="0" w:line="240" w:lineRule="auto"/>
        <w:jc w:val="center"/>
        <w:rPr>
          <w:rFonts w:ascii="Arial" w:hAnsi="Arial" w:cs="Arial"/>
          <w:sz w:val="20"/>
          <w:szCs w:val="20"/>
        </w:rPr>
      </w:pPr>
      <w:r w:rsidRPr="0065074B">
        <w:rPr>
          <w:rFonts w:ascii="Arial" w:hAnsi="Arial"/>
          <w:b/>
          <w:sz w:val="28"/>
        </w:rPr>
        <w:t>DESCARGO DE RESPONSABILIDAD: Esta hoja informativa</w:t>
      </w:r>
      <w:r w:rsidR="00E22FE7">
        <w:rPr>
          <w:rFonts w:ascii="Arial" w:hAnsi="Arial"/>
          <w:b/>
          <w:sz w:val="28"/>
        </w:rPr>
        <w:br/>
      </w:r>
      <w:r w:rsidRPr="0065074B">
        <w:rPr>
          <w:rFonts w:ascii="Arial" w:hAnsi="Arial"/>
          <w:b/>
          <w:sz w:val="28"/>
        </w:rPr>
        <w:t>ofrece información general</w:t>
      </w:r>
      <w:r w:rsidR="006B0D28">
        <w:rPr>
          <w:rFonts w:ascii="Arial" w:hAnsi="Arial"/>
          <w:b/>
          <w:sz w:val="28"/>
        </w:rPr>
        <w:t xml:space="preserve"> </w:t>
      </w:r>
      <w:r w:rsidRPr="0065074B">
        <w:rPr>
          <w:rFonts w:ascii="Arial" w:hAnsi="Arial"/>
          <w:b/>
          <w:sz w:val="28"/>
        </w:rPr>
        <w:t>para los residentes de la ciudad</w:t>
      </w:r>
      <w:r w:rsidR="00E22FE7">
        <w:rPr>
          <w:rFonts w:ascii="Arial" w:hAnsi="Arial"/>
          <w:b/>
          <w:sz w:val="28"/>
        </w:rPr>
        <w:br/>
      </w:r>
      <w:bookmarkStart w:id="0" w:name="_GoBack"/>
      <w:bookmarkEnd w:id="0"/>
      <w:r w:rsidRPr="0065074B">
        <w:rPr>
          <w:rFonts w:ascii="Arial" w:hAnsi="Arial"/>
          <w:b/>
          <w:sz w:val="28"/>
        </w:rPr>
        <w:t>de Nueva York, y NO constituye asesoría legal.</w:t>
      </w:r>
    </w:p>
    <w:p w:rsidR="00A35D9B" w:rsidRPr="0065074B" w:rsidRDefault="00A35D9B" w:rsidP="003D4E55">
      <w:pPr>
        <w:widowControl w:val="0"/>
        <w:autoSpaceDE w:val="0"/>
        <w:autoSpaceDN w:val="0"/>
        <w:adjustRightInd w:val="0"/>
        <w:spacing w:after="0" w:line="240" w:lineRule="auto"/>
        <w:ind w:left="1502" w:right="4398"/>
        <w:jc w:val="center"/>
        <w:rPr>
          <w:rFonts w:ascii="Arial" w:hAnsi="Arial" w:cs="Arial"/>
          <w:sz w:val="20"/>
          <w:szCs w:val="20"/>
        </w:rPr>
      </w:pPr>
    </w:p>
    <w:sectPr w:rsidR="00A35D9B" w:rsidRPr="0065074B" w:rsidSect="00437C11">
      <w:footerReference w:type="even" r:id="rId9"/>
      <w:footerReference w:type="default" r:id="rId10"/>
      <w:footerReference w:type="first" r:id="rId11"/>
      <w:pgSz w:w="12240" w:h="15840"/>
      <w:pgMar w:top="1440" w:right="1339" w:bottom="1152" w:left="1339" w:header="749" w:footer="576" w:gutter="0"/>
      <w:cols w:space="720" w:equalWidth="0">
        <w:col w:w="956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525" w:rsidRDefault="006F2525">
      <w:pPr>
        <w:spacing w:after="0" w:line="240" w:lineRule="auto"/>
      </w:pPr>
      <w:r>
        <w:separator/>
      </w:r>
    </w:p>
  </w:endnote>
  <w:endnote w:type="continuationSeparator" w:id="0">
    <w:p w:rsidR="006F2525" w:rsidRDefault="006F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86" w:rsidRPr="008152FD" w:rsidRDefault="00A45B86" w:rsidP="008152FD">
    <w:pPr>
      <w:pStyle w:val="Footer"/>
      <w:rPr>
        <w:rFonts w:ascii="Arial" w:hAnsi="Arial" w:cs="Arial"/>
        <w:sz w:val="18"/>
        <w:szCs w:val="18"/>
      </w:rPr>
    </w:pPr>
    <w:r>
      <w:rPr>
        <w:rFonts w:ascii="Arial" w:hAnsi="Arial"/>
        <w:sz w:val="18"/>
      </w:rPr>
      <w:t xml:space="preserve">© 2018 </w:t>
    </w:r>
    <w:proofErr w:type="spellStart"/>
    <w:r>
      <w:rPr>
        <w:rFonts w:ascii="Arial" w:hAnsi="Arial"/>
        <w:sz w:val="18"/>
      </w:rPr>
      <w:t>Mobilization</w:t>
    </w:r>
    <w:proofErr w:type="spellEnd"/>
    <w:r>
      <w:rPr>
        <w:rFonts w:ascii="Arial" w:hAnsi="Arial"/>
        <w:sz w:val="18"/>
      </w:rPr>
      <w:t xml:space="preserve"> </w:t>
    </w:r>
    <w:proofErr w:type="spellStart"/>
    <w:r>
      <w:rPr>
        <w:rFonts w:ascii="Arial" w:hAnsi="Arial"/>
        <w:sz w:val="18"/>
      </w:rPr>
      <w:t>for</w:t>
    </w:r>
    <w:proofErr w:type="spellEnd"/>
    <w:r>
      <w:rPr>
        <w:rFonts w:ascii="Arial" w:hAnsi="Arial"/>
        <w:sz w:val="18"/>
      </w:rPr>
      <w:t xml:space="preserve"> </w:t>
    </w:r>
    <w:proofErr w:type="spellStart"/>
    <w:r>
      <w:rPr>
        <w:rFonts w:ascii="Arial" w:hAnsi="Arial"/>
        <w:sz w:val="18"/>
      </w:rPr>
      <w:t>Justice</w:t>
    </w:r>
    <w:proofErr w:type="spellEnd"/>
    <w:r>
      <w:rPr>
        <w:rFonts w:ascii="Arial" w:hAnsi="Arial"/>
        <w:sz w:val="18"/>
      </w:rPr>
      <w:t>. Todos los derechos reservados.</w:t>
    </w:r>
    <w:r w:rsidR="006B0D28">
      <w:rPr>
        <w:rFonts w:ascii="Arial" w:hAnsi="Arial"/>
        <w:sz w:val="18"/>
      </w:rPr>
      <w:t xml:space="preserve"> </w:t>
    </w:r>
    <w:r>
      <w:tab/>
    </w:r>
    <w:r>
      <w:rPr>
        <w:rFonts w:ascii="Arial" w:hAnsi="Arial"/>
        <w:sz w:val="18"/>
      </w:rPr>
      <w:t>Página 2 de 2</w:t>
    </w:r>
  </w:p>
  <w:p w:rsidR="00A45B86" w:rsidRDefault="00A45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86" w:rsidRPr="008152FD" w:rsidRDefault="00A45B86" w:rsidP="008152FD">
    <w:pPr>
      <w:pStyle w:val="Footer"/>
      <w:rPr>
        <w:rFonts w:ascii="Arial" w:hAnsi="Arial" w:cs="Arial"/>
        <w:sz w:val="18"/>
        <w:szCs w:val="18"/>
      </w:rPr>
    </w:pPr>
    <w:r>
      <w:rPr>
        <w:rFonts w:ascii="Arial" w:hAnsi="Arial"/>
        <w:sz w:val="18"/>
      </w:rPr>
      <w:t xml:space="preserve">© 2018 </w:t>
    </w:r>
    <w:proofErr w:type="spellStart"/>
    <w:r>
      <w:rPr>
        <w:rFonts w:ascii="Arial" w:hAnsi="Arial"/>
        <w:sz w:val="18"/>
      </w:rPr>
      <w:t>Mobilization</w:t>
    </w:r>
    <w:proofErr w:type="spellEnd"/>
    <w:r>
      <w:rPr>
        <w:rFonts w:ascii="Arial" w:hAnsi="Arial"/>
        <w:sz w:val="18"/>
      </w:rPr>
      <w:t xml:space="preserve"> </w:t>
    </w:r>
    <w:proofErr w:type="spellStart"/>
    <w:r>
      <w:rPr>
        <w:rFonts w:ascii="Arial" w:hAnsi="Arial"/>
        <w:sz w:val="18"/>
      </w:rPr>
      <w:t>for</w:t>
    </w:r>
    <w:proofErr w:type="spellEnd"/>
    <w:r>
      <w:rPr>
        <w:rFonts w:ascii="Arial" w:hAnsi="Arial"/>
        <w:sz w:val="18"/>
      </w:rPr>
      <w:t xml:space="preserve"> </w:t>
    </w:r>
    <w:proofErr w:type="spellStart"/>
    <w:r>
      <w:rPr>
        <w:rFonts w:ascii="Arial" w:hAnsi="Arial"/>
        <w:sz w:val="18"/>
      </w:rPr>
      <w:t>Justice</w:t>
    </w:r>
    <w:proofErr w:type="spellEnd"/>
    <w:r>
      <w:rPr>
        <w:rFonts w:ascii="Arial" w:hAnsi="Arial"/>
        <w:sz w:val="18"/>
      </w:rPr>
      <w:t>. Todos los derechos reservados.</w:t>
    </w:r>
    <w:r>
      <w:tab/>
    </w:r>
    <w:r>
      <w:tab/>
    </w:r>
    <w:r>
      <w:rPr>
        <w:rFonts w:ascii="Arial" w:hAnsi="Arial"/>
        <w:sz w:val="18"/>
      </w:rPr>
      <w:t>Página 3 de 3</w:t>
    </w:r>
  </w:p>
  <w:p w:rsidR="00A45B86" w:rsidRDefault="00A45B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86" w:rsidRPr="00437C11" w:rsidRDefault="00A45B86">
    <w:pPr>
      <w:pStyle w:val="Footer"/>
      <w:rPr>
        <w:rFonts w:ascii="Arial" w:hAnsi="Arial" w:cs="Arial"/>
        <w:sz w:val="18"/>
        <w:szCs w:val="18"/>
      </w:rPr>
    </w:pPr>
    <w:r>
      <w:rPr>
        <w:rFonts w:ascii="Arial" w:hAnsi="Arial"/>
        <w:sz w:val="18"/>
      </w:rPr>
      <w:t xml:space="preserve">© 2018 </w:t>
    </w:r>
    <w:proofErr w:type="spellStart"/>
    <w:r>
      <w:rPr>
        <w:rFonts w:ascii="Arial" w:hAnsi="Arial"/>
        <w:sz w:val="18"/>
      </w:rPr>
      <w:t>Mobilization</w:t>
    </w:r>
    <w:proofErr w:type="spellEnd"/>
    <w:r>
      <w:rPr>
        <w:rFonts w:ascii="Arial" w:hAnsi="Arial"/>
        <w:sz w:val="18"/>
      </w:rPr>
      <w:t xml:space="preserve"> </w:t>
    </w:r>
    <w:proofErr w:type="spellStart"/>
    <w:r>
      <w:rPr>
        <w:rFonts w:ascii="Arial" w:hAnsi="Arial"/>
        <w:sz w:val="18"/>
      </w:rPr>
      <w:t>for</w:t>
    </w:r>
    <w:proofErr w:type="spellEnd"/>
    <w:r>
      <w:rPr>
        <w:rFonts w:ascii="Arial" w:hAnsi="Arial"/>
        <w:sz w:val="18"/>
      </w:rPr>
      <w:t xml:space="preserve"> </w:t>
    </w:r>
    <w:proofErr w:type="spellStart"/>
    <w:r>
      <w:rPr>
        <w:rFonts w:ascii="Arial" w:hAnsi="Arial"/>
        <w:sz w:val="18"/>
      </w:rPr>
      <w:t>Justice</w:t>
    </w:r>
    <w:proofErr w:type="spellEnd"/>
    <w:r>
      <w:rPr>
        <w:rFonts w:ascii="Arial" w:hAnsi="Arial"/>
        <w:sz w:val="18"/>
      </w:rPr>
      <w:t>. Todos los derechos reservados.</w:t>
    </w:r>
    <w:r w:rsidR="0065074B">
      <w:rPr>
        <w:rFonts w:ascii="Arial" w:hAnsi="Arial"/>
        <w:sz w:val="18"/>
      </w:rPr>
      <w:t xml:space="preserve"> </w:t>
    </w:r>
    <w:r w:rsidR="0065074B">
      <w:rPr>
        <w:rFonts w:ascii="Arial" w:hAnsi="Arial"/>
        <w:sz w:val="18"/>
      </w:rPr>
      <w:tab/>
    </w:r>
    <w:r>
      <w:rPr>
        <w:rFonts w:ascii="Arial" w:hAnsi="Arial"/>
        <w:sz w:val="18"/>
      </w:rPr>
      <w:t>Página 1 de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525" w:rsidRDefault="006F2525">
      <w:pPr>
        <w:spacing w:after="0" w:line="240" w:lineRule="auto"/>
      </w:pPr>
      <w:r>
        <w:separator/>
      </w:r>
    </w:p>
  </w:footnote>
  <w:footnote w:type="continuationSeparator" w:id="0">
    <w:p w:rsidR="006F2525" w:rsidRDefault="006F2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28EC"/>
    <w:multiLevelType w:val="hybridMultilevel"/>
    <w:tmpl w:val="D976FDBC"/>
    <w:lvl w:ilvl="0" w:tplc="6BCC040E">
      <w:numFmt w:val="bullet"/>
      <w:lvlText w:val="•"/>
      <w:lvlJc w:val="left"/>
      <w:pPr>
        <w:ind w:left="1555" w:hanging="360"/>
      </w:pPr>
      <w:rPr>
        <w:rFonts w:ascii="Arial" w:eastAsia="Times New Roman" w:hAnsi="Arial" w:cs="Arial" w:hint="default"/>
        <w:w w:val="131"/>
      </w:rPr>
    </w:lvl>
    <w:lvl w:ilvl="1" w:tplc="0C0A0003" w:tentative="1">
      <w:start w:val="1"/>
      <w:numFmt w:val="bullet"/>
      <w:lvlText w:val="o"/>
      <w:lvlJc w:val="left"/>
      <w:pPr>
        <w:ind w:left="2275" w:hanging="360"/>
      </w:pPr>
      <w:rPr>
        <w:rFonts w:ascii="Courier New" w:hAnsi="Courier New" w:cs="Courier New" w:hint="default"/>
      </w:rPr>
    </w:lvl>
    <w:lvl w:ilvl="2" w:tplc="0C0A0005" w:tentative="1">
      <w:start w:val="1"/>
      <w:numFmt w:val="bullet"/>
      <w:lvlText w:val=""/>
      <w:lvlJc w:val="left"/>
      <w:pPr>
        <w:ind w:left="2995" w:hanging="360"/>
      </w:pPr>
      <w:rPr>
        <w:rFonts w:ascii="Wingdings" w:hAnsi="Wingdings" w:hint="default"/>
      </w:rPr>
    </w:lvl>
    <w:lvl w:ilvl="3" w:tplc="0C0A0001" w:tentative="1">
      <w:start w:val="1"/>
      <w:numFmt w:val="bullet"/>
      <w:lvlText w:val=""/>
      <w:lvlJc w:val="left"/>
      <w:pPr>
        <w:ind w:left="3715" w:hanging="360"/>
      </w:pPr>
      <w:rPr>
        <w:rFonts w:ascii="Symbol" w:hAnsi="Symbol" w:hint="default"/>
      </w:rPr>
    </w:lvl>
    <w:lvl w:ilvl="4" w:tplc="0C0A0003" w:tentative="1">
      <w:start w:val="1"/>
      <w:numFmt w:val="bullet"/>
      <w:lvlText w:val="o"/>
      <w:lvlJc w:val="left"/>
      <w:pPr>
        <w:ind w:left="4435" w:hanging="360"/>
      </w:pPr>
      <w:rPr>
        <w:rFonts w:ascii="Courier New" w:hAnsi="Courier New" w:cs="Courier New" w:hint="default"/>
      </w:rPr>
    </w:lvl>
    <w:lvl w:ilvl="5" w:tplc="0C0A0005" w:tentative="1">
      <w:start w:val="1"/>
      <w:numFmt w:val="bullet"/>
      <w:lvlText w:val=""/>
      <w:lvlJc w:val="left"/>
      <w:pPr>
        <w:ind w:left="5155" w:hanging="360"/>
      </w:pPr>
      <w:rPr>
        <w:rFonts w:ascii="Wingdings" w:hAnsi="Wingdings" w:hint="default"/>
      </w:rPr>
    </w:lvl>
    <w:lvl w:ilvl="6" w:tplc="0C0A0001" w:tentative="1">
      <w:start w:val="1"/>
      <w:numFmt w:val="bullet"/>
      <w:lvlText w:val=""/>
      <w:lvlJc w:val="left"/>
      <w:pPr>
        <w:ind w:left="5875" w:hanging="360"/>
      </w:pPr>
      <w:rPr>
        <w:rFonts w:ascii="Symbol" w:hAnsi="Symbol" w:hint="default"/>
      </w:rPr>
    </w:lvl>
    <w:lvl w:ilvl="7" w:tplc="0C0A0003" w:tentative="1">
      <w:start w:val="1"/>
      <w:numFmt w:val="bullet"/>
      <w:lvlText w:val="o"/>
      <w:lvlJc w:val="left"/>
      <w:pPr>
        <w:ind w:left="6595" w:hanging="360"/>
      </w:pPr>
      <w:rPr>
        <w:rFonts w:ascii="Courier New" w:hAnsi="Courier New" w:cs="Courier New" w:hint="default"/>
      </w:rPr>
    </w:lvl>
    <w:lvl w:ilvl="8" w:tplc="0C0A0005" w:tentative="1">
      <w:start w:val="1"/>
      <w:numFmt w:val="bullet"/>
      <w:lvlText w:val=""/>
      <w:lvlJc w:val="left"/>
      <w:pPr>
        <w:ind w:left="7315" w:hanging="360"/>
      </w:pPr>
      <w:rPr>
        <w:rFonts w:ascii="Wingdings" w:hAnsi="Wingdings" w:hint="default"/>
      </w:rPr>
    </w:lvl>
  </w:abstractNum>
  <w:abstractNum w:abstractNumId="1" w15:restartNumberingAfterBreak="0">
    <w:nsid w:val="22ED0BB6"/>
    <w:multiLevelType w:val="hybridMultilevel"/>
    <w:tmpl w:val="F712130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C06035"/>
    <w:multiLevelType w:val="hybridMultilevel"/>
    <w:tmpl w:val="8390AE30"/>
    <w:lvl w:ilvl="0" w:tplc="04CC3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A2D0E88-4C8E-4B14-BB95-05ECD818C451}"/>
    <w:docVar w:name="dgnword-eventsink" w:val="328354040"/>
  </w:docVars>
  <w:rsids>
    <w:rsidRoot w:val="004009B5"/>
    <w:rsid w:val="001330AD"/>
    <w:rsid w:val="001338F0"/>
    <w:rsid w:val="00161656"/>
    <w:rsid w:val="001E5A15"/>
    <w:rsid w:val="00257ADD"/>
    <w:rsid w:val="00307346"/>
    <w:rsid w:val="003313DC"/>
    <w:rsid w:val="00351661"/>
    <w:rsid w:val="003D4E55"/>
    <w:rsid w:val="004009B5"/>
    <w:rsid w:val="00437C11"/>
    <w:rsid w:val="005608CA"/>
    <w:rsid w:val="00605484"/>
    <w:rsid w:val="0062792E"/>
    <w:rsid w:val="0065074B"/>
    <w:rsid w:val="0067536C"/>
    <w:rsid w:val="006B0D28"/>
    <w:rsid w:val="006F2525"/>
    <w:rsid w:val="00714AE3"/>
    <w:rsid w:val="00803462"/>
    <w:rsid w:val="008152FD"/>
    <w:rsid w:val="0082763B"/>
    <w:rsid w:val="0083236F"/>
    <w:rsid w:val="008A22B7"/>
    <w:rsid w:val="008C4245"/>
    <w:rsid w:val="0095124A"/>
    <w:rsid w:val="00967D27"/>
    <w:rsid w:val="009C3D42"/>
    <w:rsid w:val="00A35D9B"/>
    <w:rsid w:val="00A44AD1"/>
    <w:rsid w:val="00A45B86"/>
    <w:rsid w:val="00B156EC"/>
    <w:rsid w:val="00B40F5B"/>
    <w:rsid w:val="00B67FE4"/>
    <w:rsid w:val="00B84AA1"/>
    <w:rsid w:val="00CB7D9C"/>
    <w:rsid w:val="00D26A13"/>
    <w:rsid w:val="00E22FE7"/>
    <w:rsid w:val="00E444F8"/>
    <w:rsid w:val="00E57E9D"/>
    <w:rsid w:val="00E833C5"/>
    <w:rsid w:val="00EE3A24"/>
    <w:rsid w:val="00F276F7"/>
    <w:rsid w:val="00FC5C1B"/>
    <w:rsid w:val="00FD3FC3"/>
    <w:rsid w:val="00FF4F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B1E715-C3B3-497C-A2AF-6B2BC35F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D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5D9B"/>
    <w:rPr>
      <w:rFonts w:ascii="Tahoma" w:hAnsi="Tahoma" w:cs="Tahoma"/>
      <w:sz w:val="16"/>
      <w:szCs w:val="16"/>
    </w:rPr>
  </w:style>
  <w:style w:type="paragraph" w:styleId="Header">
    <w:name w:val="header"/>
    <w:basedOn w:val="Normal"/>
    <w:link w:val="HeaderChar"/>
    <w:uiPriority w:val="99"/>
    <w:unhideWhenUsed/>
    <w:rsid w:val="00E57E9D"/>
    <w:pPr>
      <w:tabs>
        <w:tab w:val="center" w:pos="4680"/>
        <w:tab w:val="right" w:pos="9360"/>
      </w:tabs>
    </w:pPr>
  </w:style>
  <w:style w:type="character" w:customStyle="1" w:styleId="HeaderChar">
    <w:name w:val="Header Char"/>
    <w:link w:val="Header"/>
    <w:uiPriority w:val="99"/>
    <w:rsid w:val="00E57E9D"/>
    <w:rPr>
      <w:sz w:val="22"/>
      <w:szCs w:val="22"/>
    </w:rPr>
  </w:style>
  <w:style w:type="paragraph" w:styleId="Footer">
    <w:name w:val="footer"/>
    <w:basedOn w:val="Normal"/>
    <w:link w:val="FooterChar"/>
    <w:uiPriority w:val="99"/>
    <w:semiHidden/>
    <w:unhideWhenUsed/>
    <w:rsid w:val="00E57E9D"/>
    <w:pPr>
      <w:tabs>
        <w:tab w:val="center" w:pos="4680"/>
        <w:tab w:val="right" w:pos="9360"/>
      </w:tabs>
    </w:pPr>
  </w:style>
  <w:style w:type="character" w:customStyle="1" w:styleId="FooterChar">
    <w:name w:val="Footer Char"/>
    <w:link w:val="Footer"/>
    <w:uiPriority w:val="99"/>
    <w:semiHidden/>
    <w:rsid w:val="00E57E9D"/>
    <w:rPr>
      <w:sz w:val="22"/>
      <w:szCs w:val="22"/>
    </w:rPr>
  </w:style>
  <w:style w:type="paragraph" w:styleId="FootnoteText">
    <w:name w:val="footnote text"/>
    <w:basedOn w:val="Normal"/>
    <w:link w:val="FootnoteTextChar"/>
    <w:uiPriority w:val="99"/>
    <w:semiHidden/>
    <w:unhideWhenUsed/>
    <w:rsid w:val="00B156EC"/>
    <w:pPr>
      <w:spacing w:after="0" w:line="240" w:lineRule="auto"/>
    </w:pPr>
    <w:rPr>
      <w:rFonts w:ascii="Times New Roman" w:eastAsia="Calibri" w:hAnsi="Times New Roman"/>
      <w:sz w:val="20"/>
      <w:szCs w:val="20"/>
    </w:rPr>
  </w:style>
  <w:style w:type="character" w:customStyle="1" w:styleId="FootnoteTextChar">
    <w:name w:val="Footnote Text Char"/>
    <w:link w:val="FootnoteText"/>
    <w:uiPriority w:val="99"/>
    <w:semiHidden/>
    <w:rsid w:val="00B156EC"/>
    <w:rPr>
      <w:rFonts w:ascii="Times New Roman" w:eastAsia="Calibri" w:hAnsi="Times New Roman" w:cs="Times New Roman"/>
    </w:rPr>
  </w:style>
  <w:style w:type="character" w:styleId="FootnoteReference">
    <w:name w:val="footnote reference"/>
    <w:uiPriority w:val="99"/>
    <w:semiHidden/>
    <w:unhideWhenUsed/>
    <w:rsid w:val="00B156EC"/>
    <w:rPr>
      <w:vertAlign w:val="superscript"/>
    </w:rPr>
  </w:style>
  <w:style w:type="paragraph" w:styleId="ListParagraph">
    <w:name w:val="List Paragraph"/>
    <w:basedOn w:val="Normal"/>
    <w:uiPriority w:val="34"/>
    <w:qFormat/>
    <w:rsid w:val="00B156EC"/>
    <w:pPr>
      <w:spacing w:after="0" w:line="276" w:lineRule="auto"/>
      <w:ind w:left="720"/>
      <w:contextualSpacing/>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0480">
      <w:bodyDiv w:val="1"/>
      <w:marLeft w:val="0"/>
      <w:marRight w:val="0"/>
      <w:marTop w:val="0"/>
      <w:marBottom w:val="0"/>
      <w:divBdr>
        <w:top w:val="none" w:sz="0" w:space="0" w:color="auto"/>
        <w:left w:val="none" w:sz="0" w:space="0" w:color="auto"/>
        <w:bottom w:val="none" w:sz="0" w:space="0" w:color="auto"/>
        <w:right w:val="none" w:sz="0" w:space="0" w:color="auto"/>
      </w:divBdr>
    </w:div>
    <w:div w:id="37585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AE593-9EDA-4ADD-9F1D-95D707B8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Regs for Discharging AH Residents_Fact Sheet for SWs</vt:lpstr>
    </vt:vector>
  </TitlesOfParts>
  <Company>Hewlett-Packard Company</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Regs for Discharging AH Residents_Fact Sheet for SWs</dc:title>
  <dc:creator>jborgmann</dc:creator>
  <dc:description>DocumentCreationInfo</dc:description>
  <cp:lastModifiedBy>Dolores Schaefer</cp:lastModifiedBy>
  <cp:revision>9</cp:revision>
  <cp:lastPrinted>2016-02-26T16:43:00Z</cp:lastPrinted>
  <dcterms:created xsi:type="dcterms:W3CDTF">2018-11-18T19:05:00Z</dcterms:created>
  <dcterms:modified xsi:type="dcterms:W3CDTF">2018-11-26T19:08:00Z</dcterms:modified>
</cp:coreProperties>
</file>