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6B" w:rsidRDefault="00966B6B">
      <w:pPr>
        <w:rPr>
          <w:rFonts w:ascii="Eras Demi ITC" w:hAnsi="Eras Demi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01C256" wp14:editId="3C89470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154803" cy="16061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logo sma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6B" w:rsidRPr="00966B6B" w:rsidRDefault="00966B6B" w:rsidP="00966B6B">
      <w:pPr>
        <w:jc w:val="center"/>
        <w:rPr>
          <w:rFonts w:ascii="Eras Demi ITC" w:hAnsi="Eras Demi ITC"/>
          <w:color w:val="C00000"/>
          <w:sz w:val="14"/>
          <w:szCs w:val="72"/>
        </w:rPr>
      </w:pPr>
    </w:p>
    <w:p w:rsidR="00984209" w:rsidRPr="004738E1" w:rsidRDefault="00966B6B" w:rsidP="00966B6B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:rsidR="00966B6B" w:rsidRPr="00CD2F46" w:rsidRDefault="001314E9" w:rsidP="00966B6B">
      <w:pPr>
        <w:jc w:val="center"/>
        <w:rPr>
          <w:rFonts w:ascii="Eras Demi ITC" w:hAnsi="Eras Demi ITC"/>
          <w:color w:val="C00000"/>
          <w:sz w:val="36"/>
          <w:szCs w:val="72"/>
        </w:rPr>
      </w:pPr>
      <w:r>
        <w:rPr>
          <w:rFonts w:ascii="Eras Demi ITC" w:hAnsi="Eras Demi ITC"/>
          <w:color w:val="C00000"/>
          <w:sz w:val="36"/>
          <w:szCs w:val="72"/>
        </w:rPr>
        <w:t xml:space="preserve">November </w:t>
      </w:r>
      <w:r w:rsidR="00966B6B" w:rsidRPr="00CD2F46">
        <w:rPr>
          <w:rFonts w:ascii="Eras Demi ITC" w:hAnsi="Eras Demi ITC"/>
          <w:color w:val="C00000"/>
          <w:sz w:val="36"/>
          <w:szCs w:val="72"/>
        </w:rPr>
        <w:t>2014</w:t>
      </w:r>
    </w:p>
    <w:p w:rsidR="00966B6B" w:rsidRPr="00710AA8" w:rsidRDefault="00966B6B" w:rsidP="00966B6B">
      <w:pPr>
        <w:jc w:val="center"/>
        <w:rPr>
          <w:rFonts w:ascii="Eras Demi ITC" w:hAnsi="Eras Demi ITC"/>
          <w:color w:val="C00000"/>
          <w:szCs w:val="72"/>
        </w:rPr>
      </w:pPr>
    </w:p>
    <w:p w:rsidR="00966B6B" w:rsidRDefault="00966B6B" w:rsidP="00966B6B">
      <w:pPr>
        <w:jc w:val="center"/>
        <w:rPr>
          <w:rFonts w:ascii="Eras Demi ITC" w:hAnsi="Eras Demi ITC"/>
          <w:color w:val="C00000"/>
          <w:sz w:val="44"/>
          <w:szCs w:val="72"/>
        </w:rPr>
      </w:pPr>
    </w:p>
    <w:p w:rsidR="00966B6B" w:rsidRDefault="00966B6B" w:rsidP="00966B6B">
      <w:pPr>
        <w:rPr>
          <w:rFonts w:ascii="Eras Demi ITC" w:hAnsi="Eras Demi ITC"/>
          <w:color w:val="C00000"/>
          <w:sz w:val="32"/>
          <w:szCs w:val="72"/>
        </w:rPr>
      </w:pPr>
      <w:r>
        <w:rPr>
          <w:rFonts w:ascii="Eras Demi ITC" w:hAnsi="Eras Demi ITC"/>
          <w:color w:val="C00000"/>
          <w:sz w:val="32"/>
          <w:szCs w:val="72"/>
        </w:rPr>
        <w:t>Recent Successes . . .</w:t>
      </w:r>
    </w:p>
    <w:p w:rsidR="004869B5" w:rsidRPr="000D585D" w:rsidRDefault="001314E9" w:rsidP="00966B6B">
      <w:pPr>
        <w:rPr>
          <w:rFonts w:ascii="Arial" w:hAnsi="Arial" w:cs="Arial"/>
          <w:color w:val="000000" w:themeColor="text1"/>
          <w:sz w:val="20"/>
          <w:szCs w:val="20"/>
        </w:rPr>
      </w:pPr>
      <w:r w:rsidRPr="000D585D">
        <w:rPr>
          <w:rFonts w:ascii="Arial" w:hAnsi="Arial" w:cs="Arial"/>
          <w:color w:val="000000" w:themeColor="text1"/>
          <w:sz w:val="20"/>
          <w:szCs w:val="20"/>
        </w:rPr>
        <w:t>November</w:t>
      </w:r>
      <w:r w:rsidR="00E40273">
        <w:rPr>
          <w:rFonts w:ascii="Arial" w:hAnsi="Arial" w:cs="Arial"/>
          <w:color w:val="000000" w:themeColor="text1"/>
          <w:sz w:val="20"/>
          <w:szCs w:val="20"/>
        </w:rPr>
        <w:t xml:space="preserve"> brought several successes </w:t>
      </w:r>
      <w:r w:rsidR="004869B5" w:rsidRPr="000D585D">
        <w:rPr>
          <w:rFonts w:ascii="Arial" w:hAnsi="Arial" w:cs="Arial"/>
          <w:color w:val="000000" w:themeColor="text1"/>
          <w:sz w:val="20"/>
          <w:szCs w:val="20"/>
        </w:rPr>
        <w:t>for elderly clients and people with disabilities:</w:t>
      </w:r>
    </w:p>
    <w:p w:rsidR="004869B5" w:rsidRPr="00370907" w:rsidRDefault="004869B5" w:rsidP="00966B6B">
      <w:pPr>
        <w:rPr>
          <w:rFonts w:ascii="Arial" w:hAnsi="Arial" w:cs="Arial"/>
          <w:color w:val="000000" w:themeColor="text1"/>
          <w:sz w:val="12"/>
          <w:szCs w:val="20"/>
        </w:rPr>
      </w:pPr>
    </w:p>
    <w:p w:rsidR="00966B6B" w:rsidRPr="000D585D" w:rsidRDefault="004869B5" w:rsidP="00966B6B">
      <w:pPr>
        <w:rPr>
          <w:rFonts w:ascii="Arial" w:hAnsi="Arial" w:cs="Arial"/>
          <w:color w:val="000000" w:themeColor="text1"/>
          <w:sz w:val="20"/>
          <w:szCs w:val="20"/>
        </w:rPr>
      </w:pPr>
      <w:r w:rsidRPr="000D585D">
        <w:rPr>
          <w:rFonts w:ascii="Arial" w:hAnsi="Arial" w:cs="Arial"/>
          <w:color w:val="000000" w:themeColor="text1"/>
          <w:sz w:val="20"/>
          <w:szCs w:val="20"/>
        </w:rPr>
        <w:t xml:space="preserve">In the ongoing struggle </w:t>
      </w:r>
      <w:r w:rsidR="005109C9">
        <w:rPr>
          <w:rFonts w:ascii="Arial" w:hAnsi="Arial" w:cs="Arial"/>
          <w:color w:val="000000" w:themeColor="text1"/>
          <w:sz w:val="20"/>
          <w:szCs w:val="20"/>
        </w:rPr>
        <w:t>on behalf of the</w:t>
      </w:r>
      <w:r w:rsidR="001314E9" w:rsidRPr="000D585D">
        <w:rPr>
          <w:rFonts w:ascii="Arial" w:hAnsi="Arial" w:cs="Arial"/>
          <w:color w:val="000000" w:themeColor="text1"/>
          <w:sz w:val="20"/>
          <w:szCs w:val="20"/>
        </w:rPr>
        <w:t xml:space="preserve"> eight remaining </w:t>
      </w:r>
      <w:r w:rsidRPr="000D585D">
        <w:rPr>
          <w:rFonts w:ascii="Arial" w:hAnsi="Arial" w:cs="Arial"/>
          <w:color w:val="000000" w:themeColor="text1"/>
          <w:sz w:val="20"/>
          <w:szCs w:val="20"/>
        </w:rPr>
        <w:t xml:space="preserve">elderly residents of the </w:t>
      </w:r>
      <w:r w:rsidRPr="000D585D">
        <w:rPr>
          <w:rFonts w:ascii="Arial" w:hAnsi="Arial" w:cs="Arial"/>
          <w:b/>
          <w:color w:val="C00000"/>
          <w:sz w:val="20"/>
          <w:szCs w:val="20"/>
        </w:rPr>
        <w:t>Prospect Park Residence</w:t>
      </w:r>
      <w:r w:rsidR="001314E9" w:rsidRPr="000D585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314E9" w:rsidRPr="000D585D">
        <w:rPr>
          <w:rFonts w:ascii="Arial" w:hAnsi="Arial" w:cs="Arial"/>
          <w:color w:val="000000" w:themeColor="text1"/>
          <w:sz w:val="20"/>
          <w:szCs w:val="20"/>
        </w:rPr>
        <w:t>in Brooklyn</w:t>
      </w:r>
      <w:r w:rsidRPr="000D585D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1314E9" w:rsidRPr="000D585D">
        <w:rPr>
          <w:rFonts w:ascii="Arial" w:hAnsi="Arial" w:cs="Arial"/>
          <w:color w:val="000000" w:themeColor="text1"/>
          <w:sz w:val="20"/>
          <w:szCs w:val="20"/>
        </w:rPr>
        <w:t xml:space="preserve">a judge ruled that the Department of Health’s closure plan was invalid. The owner, who has been cited for contempt for cutting back on services, </w:t>
      </w:r>
      <w:r w:rsidR="005109C9">
        <w:rPr>
          <w:rFonts w:ascii="Arial" w:hAnsi="Arial" w:cs="Arial"/>
          <w:color w:val="000000" w:themeColor="text1"/>
          <w:sz w:val="20"/>
          <w:szCs w:val="20"/>
        </w:rPr>
        <w:t>purchased the facility intending to flip it after evicting all the residents and re-sell it</w:t>
      </w:r>
      <w:r w:rsidR="001314E9" w:rsidRPr="000D585D">
        <w:rPr>
          <w:rFonts w:ascii="Arial" w:hAnsi="Arial" w:cs="Arial"/>
          <w:color w:val="000000" w:themeColor="text1"/>
          <w:sz w:val="20"/>
          <w:szCs w:val="20"/>
        </w:rPr>
        <w:t xml:space="preserve"> to developers. MFY, the Legal Aid Society, and pro bono counsel are representing the tenants. See article below.</w:t>
      </w:r>
    </w:p>
    <w:p w:rsidR="001314E9" w:rsidRPr="00370907" w:rsidRDefault="001314E9" w:rsidP="00966B6B">
      <w:pPr>
        <w:rPr>
          <w:rFonts w:ascii="Arial" w:hAnsi="Arial" w:cs="Arial"/>
          <w:color w:val="000000" w:themeColor="text1"/>
          <w:sz w:val="12"/>
          <w:szCs w:val="20"/>
        </w:rPr>
      </w:pPr>
    </w:p>
    <w:p w:rsidR="001314E9" w:rsidRDefault="001314E9" w:rsidP="00966B6B">
      <w:pPr>
        <w:rPr>
          <w:rFonts w:ascii="Arial" w:hAnsi="Arial" w:cs="Arial"/>
          <w:color w:val="000000" w:themeColor="text1"/>
          <w:sz w:val="20"/>
          <w:szCs w:val="20"/>
        </w:rPr>
      </w:pPr>
      <w:r w:rsidRPr="000D585D">
        <w:rPr>
          <w:rFonts w:ascii="Arial" w:hAnsi="Arial" w:cs="Arial"/>
          <w:color w:val="000000" w:themeColor="text1"/>
          <w:sz w:val="20"/>
          <w:szCs w:val="20"/>
        </w:rPr>
        <w:t xml:space="preserve">Eighteen months ago MFY, with co-counsel from Emery Celli Brinckerhoff &amp; </w:t>
      </w:r>
      <w:proofErr w:type="spellStart"/>
      <w:r w:rsidRPr="000D585D">
        <w:rPr>
          <w:rFonts w:ascii="Arial" w:hAnsi="Arial" w:cs="Arial"/>
          <w:color w:val="000000" w:themeColor="text1"/>
          <w:sz w:val="20"/>
          <w:szCs w:val="20"/>
        </w:rPr>
        <w:t>Abady</w:t>
      </w:r>
      <w:proofErr w:type="spellEnd"/>
      <w:r w:rsidRPr="000D585D">
        <w:rPr>
          <w:rFonts w:ascii="Arial" w:hAnsi="Arial" w:cs="Arial"/>
          <w:color w:val="000000" w:themeColor="text1"/>
          <w:sz w:val="20"/>
          <w:szCs w:val="20"/>
        </w:rPr>
        <w:t xml:space="preserve">, filed a </w:t>
      </w:r>
      <w:r w:rsidRPr="000D585D">
        <w:rPr>
          <w:rFonts w:ascii="Arial" w:hAnsi="Arial" w:cs="Arial"/>
          <w:b/>
          <w:color w:val="C00000"/>
          <w:sz w:val="20"/>
          <w:szCs w:val="20"/>
        </w:rPr>
        <w:t>federal discrimination lawsuit</w:t>
      </w:r>
      <w:r w:rsidRPr="000D585D">
        <w:rPr>
          <w:rFonts w:ascii="Arial" w:hAnsi="Arial" w:cs="Arial"/>
          <w:color w:val="C00000"/>
          <w:sz w:val="20"/>
          <w:szCs w:val="20"/>
        </w:rPr>
        <w:t xml:space="preserve"> </w:t>
      </w:r>
      <w:r w:rsidRPr="000D585D">
        <w:rPr>
          <w:rFonts w:ascii="Arial" w:hAnsi="Arial" w:cs="Arial"/>
          <w:color w:val="000000" w:themeColor="text1"/>
          <w:sz w:val="20"/>
          <w:szCs w:val="20"/>
        </w:rPr>
        <w:t>on behalf of the Fair Housing Justice Center agai</w:t>
      </w:r>
      <w:r w:rsidR="00E40273">
        <w:rPr>
          <w:rFonts w:ascii="Arial" w:hAnsi="Arial" w:cs="Arial"/>
          <w:color w:val="000000" w:themeColor="text1"/>
          <w:sz w:val="20"/>
          <w:szCs w:val="20"/>
        </w:rPr>
        <w:t>nst five senior living residences</w:t>
      </w:r>
      <w:r w:rsidRPr="000D585D">
        <w:rPr>
          <w:rFonts w:ascii="Arial" w:hAnsi="Arial" w:cs="Arial"/>
          <w:color w:val="000000" w:themeColor="text1"/>
          <w:sz w:val="20"/>
          <w:szCs w:val="20"/>
        </w:rPr>
        <w:t xml:space="preserve"> that openly discriminated based on disability, race and religion. In November, all parties signed a settlement agreeing to revamp their advertising and application procedures to eliminate discrimination based on disability, race, and religion; stop limiting residents’ ability to have home health aides; stop evicting residents for declining health; adopt non-discrimination and reasonable accommodation policies; undergo fair housing training; and pay fees and damag</w:t>
      </w:r>
      <w:r w:rsidR="00725AE4">
        <w:rPr>
          <w:rFonts w:ascii="Arial" w:hAnsi="Arial" w:cs="Arial"/>
          <w:color w:val="000000" w:themeColor="text1"/>
          <w:sz w:val="20"/>
          <w:szCs w:val="20"/>
        </w:rPr>
        <w:t>es.</w:t>
      </w:r>
    </w:p>
    <w:p w:rsidR="000D585D" w:rsidRPr="00370907" w:rsidRDefault="000D585D" w:rsidP="00966B6B">
      <w:pPr>
        <w:rPr>
          <w:rFonts w:ascii="Arial" w:hAnsi="Arial" w:cs="Arial"/>
          <w:color w:val="000000" w:themeColor="text1"/>
          <w:sz w:val="12"/>
          <w:szCs w:val="20"/>
        </w:rPr>
      </w:pPr>
    </w:p>
    <w:p w:rsidR="000D585D" w:rsidRDefault="000D585D" w:rsidP="00966B6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Our Willkie extern </w:t>
      </w:r>
      <w:r w:rsidRPr="000D585D">
        <w:rPr>
          <w:rFonts w:ascii="Arial" w:hAnsi="Arial" w:cs="Arial"/>
          <w:b/>
          <w:color w:val="C00000"/>
          <w:sz w:val="20"/>
          <w:szCs w:val="20"/>
        </w:rPr>
        <w:t>saved an elderly couple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from homelessness</w:t>
      </w:r>
      <w:r w:rsidRPr="000D5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(ages 86 and 93) when they fell </w:t>
      </w:r>
      <w:r w:rsidR="005109C9">
        <w:rPr>
          <w:rFonts w:ascii="Arial" w:hAnsi="Arial" w:cs="Arial"/>
          <w:color w:val="000000" w:themeColor="text1"/>
          <w:sz w:val="20"/>
          <w:szCs w:val="20"/>
        </w:rPr>
        <w:t>into a gap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on eligibility for the Senior Citizen Rent Increase Exemption (SCRIE</w:t>
      </w:r>
      <w:r w:rsidR="00370907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>
        <w:rPr>
          <w:rFonts w:ascii="Arial" w:hAnsi="Arial" w:cs="Arial"/>
          <w:color w:val="000000" w:themeColor="text1"/>
          <w:sz w:val="20"/>
          <w:szCs w:val="20"/>
        </w:rPr>
        <w:t>Quick action undid a default judgment and careful research found several unclaimed cost-of-living deductions that brought their inc</w:t>
      </w:r>
      <w:r w:rsidR="00E40273">
        <w:rPr>
          <w:rFonts w:ascii="Arial" w:hAnsi="Arial" w:cs="Arial"/>
          <w:color w:val="000000" w:themeColor="text1"/>
          <w:sz w:val="20"/>
          <w:szCs w:val="20"/>
        </w:rPr>
        <w:t>ome down to the eligible amount and saved their affordable housing.</w:t>
      </w:r>
    </w:p>
    <w:p w:rsidR="000D585D" w:rsidRPr="00370907" w:rsidRDefault="000D585D" w:rsidP="00966B6B">
      <w:pPr>
        <w:rPr>
          <w:rFonts w:ascii="Arial" w:hAnsi="Arial" w:cs="Arial"/>
          <w:color w:val="000000" w:themeColor="text1"/>
          <w:sz w:val="12"/>
          <w:szCs w:val="20"/>
        </w:rPr>
      </w:pPr>
    </w:p>
    <w:p w:rsidR="00F763F3" w:rsidRPr="00710AA8" w:rsidRDefault="000D585D" w:rsidP="00966B6B">
      <w:pPr>
        <w:rPr>
          <w:rFonts w:ascii="Arial" w:hAnsi="Arial" w:cs="Arial"/>
          <w:color w:val="000000" w:themeColor="text1"/>
          <w:sz w:val="6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Our new </w:t>
      </w:r>
      <w:r w:rsidRPr="00370907">
        <w:rPr>
          <w:rFonts w:ascii="Arial" w:hAnsi="Arial" w:cs="Arial"/>
          <w:b/>
          <w:color w:val="C00000"/>
          <w:sz w:val="20"/>
          <w:szCs w:val="20"/>
        </w:rPr>
        <w:t>Three-Quarter House Project organizer</w:t>
      </w:r>
      <w:r w:rsidRPr="00370907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held the first-ever tenants</w:t>
      </w:r>
      <w:r w:rsidR="00370907">
        <w:rPr>
          <w:rFonts w:ascii="Arial" w:hAnsi="Arial" w:cs="Arial"/>
          <w:color w:val="000000" w:themeColor="text1"/>
          <w:sz w:val="20"/>
          <w:szCs w:val="20"/>
        </w:rPr>
        <w:t>’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meeting in the Bronx after only two weeks on the job. </w:t>
      </w:r>
      <w:r w:rsidR="005109C9">
        <w:rPr>
          <w:rFonts w:ascii="Arial" w:hAnsi="Arial" w:cs="Arial"/>
          <w:color w:val="000000" w:themeColor="text1"/>
          <w:sz w:val="20"/>
          <w:szCs w:val="20"/>
        </w:rPr>
        <w:t xml:space="preserve">The project is playing a leadership role in the </w:t>
      </w:r>
      <w:r w:rsidR="005109C9" w:rsidRPr="005109C9">
        <w:rPr>
          <w:rFonts w:ascii="Arial" w:hAnsi="Arial" w:cs="Arial"/>
          <w:b/>
          <w:color w:val="C00000"/>
          <w:sz w:val="20"/>
          <w:szCs w:val="20"/>
        </w:rPr>
        <w:t>Three-Quarter House Reform Coalition</w:t>
      </w:r>
      <w:r w:rsidR="005109C9">
        <w:rPr>
          <w:rFonts w:ascii="Arial" w:hAnsi="Arial" w:cs="Arial"/>
          <w:color w:val="000000" w:themeColor="text1"/>
          <w:sz w:val="20"/>
          <w:szCs w:val="20"/>
        </w:rPr>
        <w:t>, which includes some 15 organizations that are working to craft policy and legislative solutions to end abuses and develop a housing model that meets the needs of residents.</w:t>
      </w:r>
    </w:p>
    <w:p w:rsidR="00F763F3" w:rsidRPr="000D585D" w:rsidRDefault="00F763F3" w:rsidP="00966B6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C09AE" w:rsidRDefault="00F763F3" w:rsidP="00F763F3">
      <w:pPr>
        <w:spacing w:after="200"/>
        <w:rPr>
          <w:rFonts w:ascii="Eras Demi ITC" w:hAnsi="Eras Demi ITC"/>
          <w:color w:val="C00000"/>
          <w:sz w:val="3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81541" cy="11144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1123_0830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54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color w:val="C00000"/>
          <w:sz w:val="32"/>
          <w:szCs w:val="72"/>
        </w:rPr>
        <w:t>M</w:t>
      </w:r>
      <w:r w:rsidR="00370907">
        <w:rPr>
          <w:rFonts w:ascii="Eras Demi ITC" w:hAnsi="Eras Demi ITC"/>
          <w:color w:val="C00000"/>
          <w:sz w:val="32"/>
          <w:szCs w:val="72"/>
        </w:rPr>
        <w:t>FY on the run . . .</w:t>
      </w:r>
    </w:p>
    <w:p w:rsidR="00370907" w:rsidRDefault="00370907" w:rsidP="00F763F3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MFY’s running team has participated in six races this year, helping to raise funds for a number of causes, including the Anti-Violence Project, Autism Speaks, and God’s Love We Deliver.  </w:t>
      </w:r>
    </w:p>
    <w:p w:rsidR="00725AE4" w:rsidRDefault="00725AE4" w:rsidP="00F763F3">
      <w:pPr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725AE4" w:rsidRDefault="00725AE4" w:rsidP="00F763F3">
      <w:pPr>
        <w:ind w:left="1440"/>
        <w:rPr>
          <w:rFonts w:ascii="Eras Demi ITC" w:hAnsi="Eras Demi ITC"/>
          <w:color w:val="C00000"/>
          <w:sz w:val="32"/>
          <w:szCs w:val="72"/>
        </w:rPr>
      </w:pPr>
    </w:p>
    <w:p w:rsidR="001C09AE" w:rsidRPr="008D4D12" w:rsidRDefault="001C09AE" w:rsidP="00966B6B">
      <w:pPr>
        <w:rPr>
          <w:rFonts w:ascii="Arial" w:hAnsi="Arial" w:cs="Arial"/>
          <w:color w:val="000000" w:themeColor="text1"/>
          <w:sz w:val="10"/>
          <w:szCs w:val="22"/>
        </w:rPr>
      </w:pPr>
    </w:p>
    <w:p w:rsidR="00AB5B9A" w:rsidRDefault="00AB5B9A" w:rsidP="00AB5B9A">
      <w:pPr>
        <w:rPr>
          <w:rFonts w:ascii="Eras Demi ITC" w:hAnsi="Eras Demi ITC"/>
          <w:color w:val="C00000"/>
          <w:sz w:val="32"/>
          <w:szCs w:val="72"/>
        </w:rPr>
      </w:pPr>
      <w:r>
        <w:rPr>
          <w:rFonts w:ascii="Eras Demi ITC" w:hAnsi="Eras Demi ITC"/>
          <w:color w:val="C00000"/>
          <w:sz w:val="32"/>
          <w:szCs w:val="72"/>
        </w:rPr>
        <w:t>MFY in the News . . .</w:t>
      </w:r>
    </w:p>
    <w:p w:rsidR="00AB5B9A" w:rsidRPr="008D4D12" w:rsidRDefault="00AB5B9A" w:rsidP="00AB5B9A">
      <w:pPr>
        <w:rPr>
          <w:rFonts w:ascii="Arial" w:hAnsi="Arial" w:cs="Arial"/>
          <w:color w:val="C00000"/>
          <w:sz w:val="10"/>
          <w:szCs w:val="20"/>
        </w:rPr>
      </w:pPr>
    </w:p>
    <w:p w:rsidR="00AB5B9A" w:rsidRDefault="00AB5B9A" w:rsidP="00AB5B9A">
      <w:pPr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The </w:t>
      </w:r>
      <w:hyperlink r:id="rId6" w:history="1">
        <w:r w:rsidRPr="007538F1">
          <w:rPr>
            <w:rStyle w:val="Hyperlink"/>
            <w:rFonts w:ascii="Arial" w:hAnsi="Arial" w:cs="Arial"/>
            <w:b/>
            <w:sz w:val="20"/>
            <w:szCs w:val="22"/>
          </w:rPr>
          <w:t>New York Times</w:t>
        </w:r>
      </w:hyperlink>
      <w:r>
        <w:rPr>
          <w:rFonts w:ascii="Arial" w:hAnsi="Arial" w:cs="Arial"/>
          <w:color w:val="000000" w:themeColor="text1"/>
          <w:sz w:val="20"/>
          <w:szCs w:val="22"/>
        </w:rPr>
        <w:t xml:space="preserve"> reports on conditions in the Prospect Park Residence.</w:t>
      </w:r>
    </w:p>
    <w:p w:rsidR="00AB5B9A" w:rsidRPr="00710AA8" w:rsidRDefault="00AB5B9A" w:rsidP="00AB5B9A">
      <w:pPr>
        <w:rPr>
          <w:sz w:val="14"/>
        </w:rPr>
      </w:pPr>
    </w:p>
    <w:p w:rsidR="00AB5B9A" w:rsidRDefault="00AB5B9A" w:rsidP="00AB5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hyperlink r:id="rId7" w:history="1">
        <w:r w:rsidRPr="007538F1">
          <w:rPr>
            <w:rStyle w:val="Hyperlink"/>
            <w:rFonts w:ascii="Arial" w:hAnsi="Arial" w:cs="Arial"/>
            <w:b/>
            <w:sz w:val="20"/>
            <w:szCs w:val="20"/>
          </w:rPr>
          <w:t>Associated Press</w:t>
        </w:r>
      </w:hyperlink>
      <w:r>
        <w:rPr>
          <w:rFonts w:ascii="Arial" w:hAnsi="Arial" w:cs="Arial"/>
          <w:sz w:val="20"/>
          <w:szCs w:val="20"/>
        </w:rPr>
        <w:t xml:space="preserve"> article about FEMA asking adult home residents to repay Sandy aid appeared in multiple outlets.</w:t>
      </w:r>
    </w:p>
    <w:p w:rsidR="00AB5B9A" w:rsidRDefault="00AB5B9A" w:rsidP="00AB5B9A">
      <w:pPr>
        <w:rPr>
          <w:rFonts w:ascii="Arial" w:hAnsi="Arial" w:cs="Arial"/>
          <w:sz w:val="20"/>
          <w:szCs w:val="20"/>
        </w:rPr>
      </w:pPr>
    </w:p>
    <w:p w:rsidR="00AB5B9A" w:rsidRDefault="00AB5B9A" w:rsidP="00AB5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538F1">
          <w:rPr>
            <w:rStyle w:val="Hyperlink"/>
            <w:rFonts w:ascii="Arial" w:hAnsi="Arial" w:cs="Arial"/>
            <w:b/>
            <w:sz w:val="20"/>
            <w:szCs w:val="20"/>
          </w:rPr>
          <w:t>NY Law Journal</w:t>
        </w:r>
      </w:hyperlink>
      <w:r>
        <w:rPr>
          <w:rFonts w:ascii="Arial" w:hAnsi="Arial" w:cs="Arial"/>
          <w:sz w:val="20"/>
          <w:szCs w:val="20"/>
        </w:rPr>
        <w:t xml:space="preserve"> reported on a decision giving MFY’s client a second chance at employment. </w:t>
      </w:r>
    </w:p>
    <w:p w:rsidR="00F763F3" w:rsidRPr="008D4D12" w:rsidRDefault="00F763F3" w:rsidP="00966B6B">
      <w:pPr>
        <w:rPr>
          <w:rFonts w:ascii="Arial" w:hAnsi="Arial" w:cs="Arial"/>
          <w:color w:val="000000" w:themeColor="text1"/>
          <w:sz w:val="20"/>
          <w:szCs w:val="22"/>
        </w:rPr>
      </w:pPr>
      <w:bookmarkStart w:id="0" w:name="_GoBack"/>
      <w:bookmarkEnd w:id="0"/>
    </w:p>
    <w:sectPr w:rsidR="00F763F3" w:rsidRPr="008D4D12" w:rsidSect="008D4D1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B"/>
    <w:rsid w:val="00057E94"/>
    <w:rsid w:val="00081D25"/>
    <w:rsid w:val="000D585D"/>
    <w:rsid w:val="001314E9"/>
    <w:rsid w:val="001C09AE"/>
    <w:rsid w:val="00370907"/>
    <w:rsid w:val="003946A8"/>
    <w:rsid w:val="004738E1"/>
    <w:rsid w:val="004869B5"/>
    <w:rsid w:val="005109C9"/>
    <w:rsid w:val="00710AA8"/>
    <w:rsid w:val="00725AE4"/>
    <w:rsid w:val="007F49B1"/>
    <w:rsid w:val="008D4D12"/>
    <w:rsid w:val="00966B6B"/>
    <w:rsid w:val="00984209"/>
    <w:rsid w:val="00AB5B9A"/>
    <w:rsid w:val="00CD2F46"/>
    <w:rsid w:val="00E40273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7653-6DD8-41E8-B4E7-BF07AFE6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yorklawjournal.com/this-weeks-news/id=1202676034441/Court-Finds-Arbitrary-Citys-Denial-of-ReEmployment?mcode=1202615038803&amp;curindex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sday.com/news/region-state/fema-asking-some-elderly-disabled-patients-to-repay-superstorm-sandy-aid-1.96003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4/11/29/nyregion/at-assisted-living-home-prospect-park-residence-set-to-close-holdouts-dig-in-as-services-dry-up.html?_r=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3</cp:revision>
  <cp:lastPrinted>2016-08-30T16:27:00Z</cp:lastPrinted>
  <dcterms:created xsi:type="dcterms:W3CDTF">2014-12-04T21:11:00Z</dcterms:created>
  <dcterms:modified xsi:type="dcterms:W3CDTF">2016-08-30T16:28:00Z</dcterms:modified>
</cp:coreProperties>
</file>