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47AF" w14:textId="77777777" w:rsidR="00966B6B" w:rsidRDefault="00966B6B">
      <w:pPr>
        <w:rPr>
          <w:rFonts w:ascii="Eras Demi ITC" w:hAnsi="Eras Demi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D8594" wp14:editId="423A51DC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AE9CE" w14:textId="77777777"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14:paraId="0A784687" w14:textId="77777777"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14:paraId="43364F7B" w14:textId="0724BB0E" w:rsidR="00966B6B" w:rsidRPr="00DF5811" w:rsidRDefault="00DA42F8" w:rsidP="00966B6B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>November 2015</w:t>
      </w:r>
    </w:p>
    <w:p w14:paraId="1594027E" w14:textId="77777777"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14:paraId="6A306952" w14:textId="77777777"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14:paraId="5E456EEA" w14:textId="77777777" w:rsidR="00B66132" w:rsidRPr="007273F2" w:rsidRDefault="00B66132" w:rsidP="00966B6B">
      <w:pPr>
        <w:rPr>
          <w:rFonts w:ascii="Eras Demi ITC" w:hAnsi="Eras Demi ITC"/>
          <w:color w:val="C00000"/>
          <w:sz w:val="18"/>
          <w:szCs w:val="72"/>
        </w:rPr>
      </w:pPr>
    </w:p>
    <w:p w14:paraId="28BCF814" w14:textId="783EE521" w:rsidR="00E36D51" w:rsidRDefault="00DA42F8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HUGE VICTORY FOR NYS CONSUMERS!</w:t>
      </w:r>
      <w:r>
        <w:rPr>
          <w:rFonts w:ascii="Eras Demi ITC" w:hAnsi="Eras Demi ITC"/>
          <w:bCs/>
          <w:color w:val="C00000"/>
          <w:sz w:val="28"/>
          <w:szCs w:val="28"/>
        </w:rPr>
        <w:br/>
        <w:t xml:space="preserve">$59 Million Settlement of </w:t>
      </w:r>
      <w:r w:rsidR="00523ED0">
        <w:rPr>
          <w:rFonts w:ascii="Eras Demi ITC" w:hAnsi="Eras Demi ITC"/>
          <w:bCs/>
          <w:color w:val="C00000"/>
          <w:sz w:val="28"/>
          <w:szCs w:val="28"/>
        </w:rPr>
        <w:t xml:space="preserve">Debt Collection </w:t>
      </w:r>
      <w:r>
        <w:rPr>
          <w:rFonts w:ascii="Eras Demi ITC" w:hAnsi="Eras Demi ITC"/>
          <w:bCs/>
          <w:color w:val="C00000"/>
          <w:sz w:val="28"/>
          <w:szCs w:val="28"/>
        </w:rPr>
        <w:t>Class Action Lawsuit</w:t>
      </w:r>
    </w:p>
    <w:p w14:paraId="7485CE69" w14:textId="77777777" w:rsidR="00925FE9" w:rsidRPr="00AD43D9" w:rsidRDefault="00925FE9" w:rsidP="00E36D51">
      <w:pPr>
        <w:pStyle w:val="owapara"/>
        <w:rPr>
          <w:rFonts w:ascii="Eras Demi ITC" w:hAnsi="Eras Demi ITC"/>
          <w:bCs/>
          <w:color w:val="C00000"/>
          <w:sz w:val="6"/>
          <w:szCs w:val="28"/>
        </w:rPr>
      </w:pPr>
    </w:p>
    <w:p w14:paraId="53AACEB8" w14:textId="62C6AFC0" w:rsidR="00564E93" w:rsidRPr="00564E93" w:rsidRDefault="00223BCC" w:rsidP="00564E9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E2B802" wp14:editId="24D8641C">
            <wp:simplePos x="0" y="0"/>
            <wp:positionH relativeFrom="margin">
              <wp:posOffset>0</wp:posOffset>
            </wp:positionH>
            <wp:positionV relativeFrom="paragraph">
              <wp:posOffset>48260</wp:posOffset>
            </wp:positionV>
            <wp:extent cx="1371600" cy="1920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umer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93" w:rsidRPr="00564E93">
        <w:rPr>
          <w:rFonts w:asciiTheme="minorHAnsi" w:hAnsiTheme="minorHAnsi" w:cs="Arial"/>
          <w:sz w:val="22"/>
          <w:szCs w:val="22"/>
        </w:rPr>
        <w:t>Tens of thousands of low-income New Yorkers who were victims of abusive debt collectors won an unprecedented victory on November 1</w:t>
      </w:r>
      <w:r w:rsidR="00B04D36">
        <w:rPr>
          <w:rFonts w:asciiTheme="minorHAnsi" w:hAnsiTheme="minorHAnsi" w:cs="Arial"/>
          <w:sz w:val="22"/>
          <w:szCs w:val="22"/>
        </w:rPr>
        <w:t>2</w:t>
      </w:r>
      <w:r w:rsidR="00564E93" w:rsidRPr="00564E93">
        <w:rPr>
          <w:rFonts w:asciiTheme="minorHAnsi" w:hAnsiTheme="minorHAnsi" w:cs="Arial"/>
          <w:sz w:val="22"/>
          <w:szCs w:val="22"/>
        </w:rPr>
        <w:t xml:space="preserve">, 2015 when a </w:t>
      </w:r>
      <w:hyperlink r:id="rId6" w:history="1">
        <w:r w:rsidR="00564E93" w:rsidRPr="00523ED0">
          <w:rPr>
            <w:rStyle w:val="Hyperlink"/>
            <w:rFonts w:asciiTheme="minorHAnsi" w:hAnsiTheme="minorHAnsi" w:cs="Arial"/>
            <w:sz w:val="22"/>
            <w:szCs w:val="22"/>
          </w:rPr>
          <w:t>settlement was filed</w:t>
        </w:r>
      </w:hyperlink>
      <w:r w:rsidR="00564E93" w:rsidRPr="00564E93">
        <w:rPr>
          <w:rFonts w:asciiTheme="minorHAnsi" w:hAnsiTheme="minorHAnsi" w:cs="Arial"/>
          <w:sz w:val="22"/>
          <w:szCs w:val="22"/>
        </w:rPr>
        <w:t xml:space="preserve"> ending a six-year battle to achieve justice for low-income New Yorkers whose bank accounts were restrained or wages garnished after a default judgment based on “</w:t>
      </w:r>
      <w:hyperlink r:id="rId7" w:history="1">
        <w:r w:rsidR="00564E93" w:rsidRPr="00523ED0">
          <w:rPr>
            <w:rStyle w:val="Hyperlink"/>
            <w:rFonts w:asciiTheme="minorHAnsi" w:hAnsiTheme="minorHAnsi" w:cs="Arial"/>
            <w:sz w:val="22"/>
            <w:szCs w:val="22"/>
          </w:rPr>
          <w:t>sewer service</w:t>
        </w:r>
      </w:hyperlink>
      <w:r w:rsidR="00564E93" w:rsidRPr="00564E93">
        <w:rPr>
          <w:rFonts w:asciiTheme="minorHAnsi" w:hAnsiTheme="minorHAnsi" w:cs="Arial"/>
          <w:sz w:val="22"/>
          <w:szCs w:val="22"/>
        </w:rPr>
        <w:t>” was entered against them.</w:t>
      </w:r>
    </w:p>
    <w:p w14:paraId="316ECC41" w14:textId="62C61D5F" w:rsidR="00AD43D9" w:rsidRPr="00523ED0" w:rsidRDefault="00AD43D9" w:rsidP="00966B6B">
      <w:pPr>
        <w:rPr>
          <w:rFonts w:asciiTheme="minorHAnsi" w:hAnsiTheme="minorHAnsi"/>
          <w:color w:val="000000" w:themeColor="text1"/>
          <w:sz w:val="14"/>
          <w:szCs w:val="22"/>
        </w:rPr>
      </w:pPr>
    </w:p>
    <w:p w14:paraId="7CF122A1" w14:textId="7B5147B7" w:rsidR="00523ED0" w:rsidRDefault="00523ED0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MFY Legal Services co-counseled the case against a debt buyer, a law firm and a process serving company</w:t>
      </w:r>
      <w:r w:rsidR="001A74D9">
        <w:rPr>
          <w:rFonts w:asciiTheme="minorHAnsi" w:hAnsiTheme="minorHAnsi"/>
          <w:color w:val="000000" w:themeColor="text1"/>
          <w:sz w:val="22"/>
          <w:szCs w:val="22"/>
        </w:rPr>
        <w:t xml:space="preserve">, as well as </w:t>
      </w:r>
      <w:r w:rsidR="00902F11">
        <w:rPr>
          <w:rFonts w:asciiTheme="minorHAnsi" w:hAnsiTheme="minorHAnsi"/>
          <w:color w:val="000000" w:themeColor="text1"/>
          <w:sz w:val="22"/>
          <w:szCs w:val="22"/>
        </w:rPr>
        <w:t xml:space="preserve">subsidiaries and some </w:t>
      </w:r>
      <w:r w:rsidR="001A74D9">
        <w:rPr>
          <w:rFonts w:asciiTheme="minorHAnsi" w:hAnsiTheme="minorHAnsi"/>
          <w:color w:val="000000" w:themeColor="text1"/>
          <w:sz w:val="22"/>
          <w:szCs w:val="22"/>
        </w:rPr>
        <w:t>individuals</w:t>
      </w:r>
      <w:r w:rsidR="00902F11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with the New Economy Project and Emery Celli Brin</w:t>
      </w:r>
      <w:r w:rsidR="00902F11">
        <w:rPr>
          <w:rFonts w:asciiTheme="minorHAnsi" w:hAnsiTheme="minorHAnsi"/>
          <w:color w:val="000000" w:themeColor="text1"/>
          <w:sz w:val="22"/>
          <w:szCs w:val="22"/>
        </w:rPr>
        <w:t>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kerhoff &amp;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Abady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LLP. Some 300,000 victims of abusive debt collection practices will </w:t>
      </w:r>
      <w:r w:rsidR="00902F11">
        <w:rPr>
          <w:rFonts w:asciiTheme="minorHAnsi" w:hAnsiTheme="minorHAnsi"/>
          <w:color w:val="000000" w:themeColor="text1"/>
          <w:sz w:val="22"/>
          <w:szCs w:val="22"/>
        </w:rPr>
        <w:t>have their debts eliminated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some 190,000 default judgments are to be vacated.  The settlement include</w:t>
      </w:r>
      <w:r w:rsidR="00B04D36">
        <w:rPr>
          <w:rFonts w:asciiTheme="minorHAnsi" w:hAnsi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injunctive relief: the debt buyer is prohibited from buying further </w:t>
      </w:r>
      <w:r w:rsidR="00902F11">
        <w:rPr>
          <w:rFonts w:asciiTheme="minorHAnsi" w:hAnsiTheme="minorHAnsi"/>
          <w:color w:val="000000" w:themeColor="text1"/>
          <w:sz w:val="22"/>
          <w:szCs w:val="22"/>
        </w:rPr>
        <w:t xml:space="preserve">consumer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debt and the process serving company may no longer serve process in debt collection cases and must pay its employees the same whether or not service </w:t>
      </w:r>
      <w:r w:rsidR="0091531F">
        <w:rPr>
          <w:rFonts w:asciiTheme="minorHAnsi" w:hAnsi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</w:rPr>
        <w:t>s successful. The law firm involved in the case ceased operations in September.</w:t>
      </w:r>
    </w:p>
    <w:p w14:paraId="7C9B3FB6" w14:textId="77777777" w:rsidR="00523ED0" w:rsidRPr="00BB16B1" w:rsidRDefault="00523ED0" w:rsidP="00966B6B">
      <w:pPr>
        <w:rPr>
          <w:rFonts w:asciiTheme="minorHAnsi" w:hAnsiTheme="minorHAnsi"/>
          <w:color w:val="000000" w:themeColor="text1"/>
          <w:sz w:val="14"/>
          <w:szCs w:val="22"/>
        </w:rPr>
      </w:pPr>
    </w:p>
    <w:p w14:paraId="6AE82AE4" w14:textId="7839380E" w:rsidR="00523ED0" w:rsidRPr="00CC5DF6" w:rsidRDefault="00523ED0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MFY Supervising Attorney Carolyn Coffey, who led MFY’s effort in the case</w:t>
      </w:r>
      <w:r w:rsidR="00223BCC">
        <w:rPr>
          <w:rFonts w:asciiTheme="minorHAnsi" w:hAnsiTheme="minorHAnsi"/>
          <w:color w:val="000000" w:themeColor="text1"/>
          <w:sz w:val="22"/>
          <w:szCs w:val="22"/>
        </w:rPr>
        <w:t xml:space="preserve"> with </w:t>
      </w:r>
      <w:r w:rsidR="00B04D36">
        <w:rPr>
          <w:rFonts w:asciiTheme="minorHAnsi" w:hAnsiTheme="minorHAnsi"/>
          <w:color w:val="000000" w:themeColor="text1"/>
          <w:sz w:val="22"/>
          <w:szCs w:val="22"/>
        </w:rPr>
        <w:t xml:space="preserve">Senior </w:t>
      </w:r>
      <w:r w:rsidR="00223BCC">
        <w:rPr>
          <w:rFonts w:asciiTheme="minorHAnsi" w:hAnsiTheme="minorHAnsi"/>
          <w:color w:val="000000" w:themeColor="text1"/>
          <w:sz w:val="22"/>
          <w:szCs w:val="22"/>
        </w:rPr>
        <w:t>Staff Attorney Ariana Linderm</w:t>
      </w:r>
      <w:r w:rsidR="00B04D36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223BCC">
        <w:rPr>
          <w:rFonts w:asciiTheme="minorHAnsi" w:hAnsiTheme="minorHAnsi"/>
          <w:color w:val="000000" w:themeColor="text1"/>
          <w:sz w:val="22"/>
          <w:szCs w:val="22"/>
        </w:rPr>
        <w:t>yer</w:t>
      </w:r>
      <w:r>
        <w:rPr>
          <w:rFonts w:asciiTheme="minorHAnsi" w:hAnsiTheme="minorHAnsi"/>
          <w:color w:val="000000" w:themeColor="text1"/>
          <w:sz w:val="22"/>
          <w:szCs w:val="22"/>
        </w:rPr>
        <w:t>, said: “We expect this settlement will have far-reaching consequences across the debt-collection chai</w:t>
      </w:r>
      <w:r w:rsidR="00656DA1">
        <w:rPr>
          <w:rFonts w:asciiTheme="minorHAnsi" w:hAnsi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will help to put an end to predatory practices by debt buyers and the law firms and process serving companies that work with them.” </w:t>
      </w:r>
    </w:p>
    <w:p w14:paraId="0AAC4E24" w14:textId="77777777" w:rsidR="00DA42F8" w:rsidRDefault="00DA42F8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</w:p>
    <w:p w14:paraId="0F3E705B" w14:textId="3A891FA5" w:rsidR="00DA42F8" w:rsidRDefault="00BB16B1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Judge Rules Landlord Must Pay for Evidence in Tenant Residency Case</w:t>
      </w:r>
    </w:p>
    <w:p w14:paraId="0D08A231" w14:textId="77777777" w:rsidR="00BB16B1" w:rsidRPr="00BB16B1" w:rsidRDefault="00BB16B1" w:rsidP="007E7361">
      <w:pPr>
        <w:pStyle w:val="owapara"/>
        <w:rPr>
          <w:rFonts w:asciiTheme="minorHAnsi" w:hAnsiTheme="minorHAnsi" w:cs="Arial"/>
          <w:sz w:val="4"/>
          <w:szCs w:val="22"/>
        </w:rPr>
      </w:pPr>
    </w:p>
    <w:p w14:paraId="69690C27" w14:textId="07F4F28C" w:rsidR="00DA42F8" w:rsidRPr="00BB16B1" w:rsidRDefault="00BB16B1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Theme="minorHAnsi" w:hAnsiTheme="minorHAnsi" w:cs="Arial"/>
          <w:sz w:val="22"/>
          <w:szCs w:val="22"/>
        </w:rPr>
        <w:t xml:space="preserve">Landlords attempting to force tenants out of rent-regulated apartments often claim that the apartment is not the tenant’s primary residence. In </w:t>
      </w:r>
      <w:r>
        <w:rPr>
          <w:rFonts w:asciiTheme="minorHAnsi" w:hAnsiTheme="minorHAnsi" w:cs="Arial"/>
          <w:i/>
          <w:sz w:val="22"/>
          <w:szCs w:val="22"/>
        </w:rPr>
        <w:t>401 E. 58</w:t>
      </w:r>
      <w:r w:rsidRPr="00BB16B1">
        <w:rPr>
          <w:rFonts w:asciiTheme="minorHAnsi" w:hAnsiTheme="minorHAnsi" w:cs="Arial"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i/>
          <w:sz w:val="22"/>
          <w:szCs w:val="22"/>
        </w:rPr>
        <w:t xml:space="preserve"> St. v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Lejano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the landlord wanted an elderly and </w:t>
      </w:r>
      <w:proofErr w:type="gramStart"/>
      <w:r>
        <w:rPr>
          <w:rFonts w:asciiTheme="minorHAnsi" w:hAnsiTheme="minorHAnsi" w:cs="Arial"/>
          <w:sz w:val="22"/>
          <w:szCs w:val="22"/>
        </w:rPr>
        <w:t>indigent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tenant to pay for </w:t>
      </w:r>
      <w:r w:rsidR="00A14241">
        <w:rPr>
          <w:rFonts w:asciiTheme="minorHAnsi" w:hAnsiTheme="minorHAnsi" w:cs="Arial"/>
          <w:sz w:val="22"/>
          <w:szCs w:val="22"/>
        </w:rPr>
        <w:t>surveillance footage requested during discovery</w:t>
      </w:r>
      <w:r w:rsidR="00223BCC">
        <w:rPr>
          <w:rFonts w:asciiTheme="minorHAnsi" w:hAnsiTheme="minorHAnsi" w:cs="Arial"/>
          <w:sz w:val="22"/>
          <w:szCs w:val="22"/>
        </w:rPr>
        <w:t>.</w:t>
      </w:r>
      <w:r w:rsidR="00A14241">
        <w:rPr>
          <w:rFonts w:asciiTheme="minorHAnsi" w:hAnsiTheme="minorHAnsi" w:cs="Arial"/>
          <w:sz w:val="22"/>
          <w:szCs w:val="22"/>
        </w:rPr>
        <w:t xml:space="preserve"> The court held that the landlord must produce the video </w:t>
      </w:r>
      <w:r w:rsidR="00223BCC">
        <w:rPr>
          <w:rFonts w:asciiTheme="minorHAnsi" w:hAnsiTheme="minorHAnsi" w:cs="Arial"/>
          <w:sz w:val="22"/>
          <w:szCs w:val="22"/>
        </w:rPr>
        <w:t>without cost to the tenant</w:t>
      </w:r>
      <w:r w:rsidR="00A14241">
        <w:rPr>
          <w:rFonts w:asciiTheme="minorHAnsi" w:hAnsiTheme="minorHAnsi" w:cs="Arial"/>
          <w:sz w:val="22"/>
          <w:szCs w:val="22"/>
        </w:rPr>
        <w:t xml:space="preserve">. Cristina </w:t>
      </w:r>
      <w:proofErr w:type="spellStart"/>
      <w:r w:rsidR="00A14241">
        <w:rPr>
          <w:rFonts w:asciiTheme="minorHAnsi" w:hAnsiTheme="minorHAnsi" w:cs="Arial"/>
          <w:sz w:val="22"/>
          <w:szCs w:val="22"/>
        </w:rPr>
        <w:t>Qui</w:t>
      </w:r>
      <w:r w:rsidR="00F95B03">
        <w:rPr>
          <w:rFonts w:asciiTheme="minorHAnsi" w:hAnsiTheme="minorHAnsi" w:cs="Arial"/>
          <w:sz w:val="22"/>
          <w:szCs w:val="22"/>
        </w:rPr>
        <w:t>ñ</w:t>
      </w:r>
      <w:r w:rsidR="00A14241">
        <w:rPr>
          <w:rFonts w:asciiTheme="minorHAnsi" w:hAnsiTheme="minorHAnsi" w:cs="Arial"/>
          <w:sz w:val="22"/>
          <w:szCs w:val="22"/>
        </w:rPr>
        <w:t>ones</w:t>
      </w:r>
      <w:proofErr w:type="spellEnd"/>
      <w:r w:rsidR="00A14241">
        <w:rPr>
          <w:rFonts w:asciiTheme="minorHAnsi" w:hAnsiTheme="minorHAnsi" w:cs="Arial"/>
          <w:sz w:val="22"/>
          <w:szCs w:val="22"/>
        </w:rPr>
        <w:t>-Betancourt, an extern at MFY from Willkie Farr &amp; Gallagher LLP, handled the case.</w:t>
      </w:r>
    </w:p>
    <w:p w14:paraId="7E041DBD" w14:textId="77777777" w:rsidR="00DA42F8" w:rsidRDefault="00DA42F8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</w:p>
    <w:p w14:paraId="7E91F7D4" w14:textId="77777777" w:rsidR="009E6C01" w:rsidRDefault="009E6C01" w:rsidP="00966B6B">
      <w:pPr>
        <w:rPr>
          <w:rFonts w:ascii="Eras Demi ITC" w:hAnsi="Eras Demi ITC"/>
          <w:color w:val="C00000"/>
          <w:sz w:val="28"/>
          <w:szCs w:val="72"/>
        </w:rPr>
      </w:pPr>
      <w:r w:rsidRPr="00296C5C">
        <w:rPr>
          <w:rFonts w:ascii="Eras Demi ITC" w:hAnsi="Eras Demi ITC"/>
          <w:color w:val="C00000"/>
          <w:sz w:val="28"/>
          <w:szCs w:val="72"/>
        </w:rPr>
        <w:t>MFY in the News . . .</w:t>
      </w:r>
    </w:p>
    <w:p w14:paraId="6C8C065E" w14:textId="77777777" w:rsidR="00127932" w:rsidRPr="00F72D8D" w:rsidRDefault="00127932" w:rsidP="00966B6B">
      <w:pPr>
        <w:rPr>
          <w:rFonts w:ascii="Eras Demi ITC" w:hAnsi="Eras Demi ITC"/>
          <w:color w:val="C00000"/>
          <w:sz w:val="12"/>
          <w:szCs w:val="72"/>
        </w:rPr>
      </w:pPr>
    </w:p>
    <w:p w14:paraId="5C021AF6" w14:textId="57B3AA9B" w:rsidR="00564E93" w:rsidRPr="00564E93" w:rsidRDefault="00564E93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The $59 million settlement in the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>Sykes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class action case generated significant press coverage as well as an editorial in the New York Times: </w:t>
      </w:r>
      <w:hyperlink r:id="rId8" w:history="1">
        <w:r w:rsidRPr="00564E93">
          <w:rPr>
            <w:rStyle w:val="Hyperlink"/>
            <w:rFonts w:asciiTheme="minorHAnsi" w:hAnsiTheme="minorHAnsi"/>
            <w:sz w:val="22"/>
            <w:szCs w:val="22"/>
          </w:rPr>
          <w:t>Bad Debt Collectors and Their Prey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9" w:anchor="ixzz3rl7Y4KkU" w:history="1">
        <w:r w:rsidRPr="00564E93">
          <w:rPr>
            <w:rStyle w:val="Hyperlink"/>
            <w:rFonts w:asciiTheme="minorHAnsi" w:hAnsiTheme="minorHAnsi"/>
            <w:sz w:val="22"/>
            <w:szCs w:val="22"/>
          </w:rPr>
          <w:t xml:space="preserve">Debt Collection Deal Promises to Wipe Out </w:t>
        </w:r>
        <w:proofErr w:type="spellStart"/>
        <w:r w:rsidRPr="00564E93">
          <w:rPr>
            <w:rStyle w:val="Hyperlink"/>
            <w:rFonts w:asciiTheme="minorHAnsi" w:hAnsiTheme="minorHAnsi"/>
            <w:sz w:val="22"/>
            <w:szCs w:val="22"/>
          </w:rPr>
          <w:t>Defaut</w:t>
        </w:r>
        <w:proofErr w:type="spellEnd"/>
        <w:r w:rsidRPr="00564E93">
          <w:rPr>
            <w:rStyle w:val="Hyperlink"/>
            <w:rFonts w:asciiTheme="minorHAnsi" w:hAnsiTheme="minorHAnsi"/>
            <w:sz w:val="22"/>
            <w:szCs w:val="22"/>
          </w:rPr>
          <w:t xml:space="preserve"> Judgments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0" w:history="1">
        <w:r w:rsidRPr="00564E93">
          <w:rPr>
            <w:rStyle w:val="Hyperlink"/>
            <w:rFonts w:asciiTheme="minorHAnsi" w:hAnsiTheme="minorHAnsi"/>
            <w:sz w:val="22"/>
            <w:szCs w:val="22"/>
          </w:rPr>
          <w:t>Debt Collection Settlement from Class Action Lawsuit Could Benefit More than 7000 in Erie County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1" w:history="1">
        <w:r w:rsidRPr="00564E93">
          <w:rPr>
            <w:rStyle w:val="Hyperlink"/>
            <w:rFonts w:asciiTheme="minorHAnsi" w:hAnsiTheme="minorHAnsi"/>
            <w:sz w:val="22"/>
            <w:szCs w:val="22"/>
          </w:rPr>
          <w:t>New Yorkers Settle with Shady Debt Collector</w:t>
        </w:r>
      </w:hyperlink>
    </w:p>
    <w:p w14:paraId="57D1472D" w14:textId="77777777" w:rsidR="00564E93" w:rsidRDefault="00564E93" w:rsidP="00966B6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31EB43C" w14:textId="6A6F9CEF" w:rsidR="003F4F1D" w:rsidRDefault="00DA42F8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MFY Supervising Attorney Carolyn Coffey is quoted in the November 2015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ABA Journal: </w:t>
      </w:r>
      <w:hyperlink r:id="rId12" w:history="1">
        <w:r w:rsidRPr="00DA42F8">
          <w:rPr>
            <w:rStyle w:val="Hyperlink"/>
            <w:rFonts w:asciiTheme="minorHAnsi" w:hAnsiTheme="minorHAnsi"/>
            <w:sz w:val="22"/>
            <w:szCs w:val="22"/>
          </w:rPr>
          <w:t>Debt Buying Industry and Lax Court Review Are Burying Defendants in Default</w:t>
        </w:r>
      </w:hyperlink>
    </w:p>
    <w:p w14:paraId="56E45F6E" w14:textId="77777777" w:rsidR="00DA42F8" w:rsidRDefault="00DA42F8" w:rsidP="00966B6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0DD8B9B" w14:textId="18DA2EEC" w:rsidR="0099098A" w:rsidRDefault="00DA42F8" w:rsidP="00F72D8D">
      <w:pPr>
        <w:rPr>
          <w:sz w:val="14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MFY Executive Director Jeanette Zelhof is quoted in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JP Updates: </w:t>
      </w:r>
      <w:hyperlink r:id="rId13" w:history="1">
        <w:r w:rsidR="00564E93" w:rsidRPr="00564E93">
          <w:rPr>
            <w:rStyle w:val="Hyperlink"/>
            <w:rFonts w:asciiTheme="minorHAnsi" w:hAnsiTheme="minorHAnsi"/>
            <w:sz w:val="22"/>
            <w:szCs w:val="22"/>
          </w:rPr>
          <w:t>NY Public Advocate Leti</w:t>
        </w:r>
        <w:r w:rsidR="002D6CA4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="00564E93" w:rsidRPr="00564E93">
          <w:rPr>
            <w:rStyle w:val="Hyperlink"/>
            <w:rFonts w:asciiTheme="minorHAnsi" w:hAnsiTheme="minorHAnsi"/>
            <w:sz w:val="22"/>
            <w:szCs w:val="22"/>
          </w:rPr>
          <w:t>ia James Releases 2015 Worst Landlords List</w:t>
        </w:r>
      </w:hyperlink>
      <w:bookmarkStart w:id="0" w:name="_GoBack"/>
      <w:bookmarkEnd w:id="0"/>
    </w:p>
    <w:sectPr w:rsidR="0099098A" w:rsidSect="00F72D8D">
      <w:pgSz w:w="12240" w:h="15840"/>
      <w:pgMar w:top="864" w:right="864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2766A"/>
    <w:rsid w:val="00057E94"/>
    <w:rsid w:val="00081D25"/>
    <w:rsid w:val="000A5E5D"/>
    <w:rsid w:val="000B27C8"/>
    <w:rsid w:val="000B687C"/>
    <w:rsid w:val="000C7E98"/>
    <w:rsid w:val="000D585D"/>
    <w:rsid w:val="00120F25"/>
    <w:rsid w:val="00127932"/>
    <w:rsid w:val="001314E9"/>
    <w:rsid w:val="00164113"/>
    <w:rsid w:val="001A74D9"/>
    <w:rsid w:val="001C09AE"/>
    <w:rsid w:val="001E121E"/>
    <w:rsid w:val="001F079C"/>
    <w:rsid w:val="00215614"/>
    <w:rsid w:val="00223BCC"/>
    <w:rsid w:val="00227D56"/>
    <w:rsid w:val="00257010"/>
    <w:rsid w:val="00296C5C"/>
    <w:rsid w:val="002B49A9"/>
    <w:rsid w:val="002D6CA4"/>
    <w:rsid w:val="00303F0B"/>
    <w:rsid w:val="0030482C"/>
    <w:rsid w:val="00370907"/>
    <w:rsid w:val="003946A8"/>
    <w:rsid w:val="003B27E4"/>
    <w:rsid w:val="003F4F1D"/>
    <w:rsid w:val="00431BF7"/>
    <w:rsid w:val="00434F72"/>
    <w:rsid w:val="004738E1"/>
    <w:rsid w:val="004869B5"/>
    <w:rsid w:val="00494AA2"/>
    <w:rsid w:val="004960D8"/>
    <w:rsid w:val="004A4D65"/>
    <w:rsid w:val="004B6BF3"/>
    <w:rsid w:val="005109C9"/>
    <w:rsid w:val="00523ED0"/>
    <w:rsid w:val="005371F4"/>
    <w:rsid w:val="00564E93"/>
    <w:rsid w:val="005903A9"/>
    <w:rsid w:val="00656DA1"/>
    <w:rsid w:val="006B21DF"/>
    <w:rsid w:val="006B62EE"/>
    <w:rsid w:val="006C64C8"/>
    <w:rsid w:val="006E1049"/>
    <w:rsid w:val="00710AA8"/>
    <w:rsid w:val="00722D51"/>
    <w:rsid w:val="007273F2"/>
    <w:rsid w:val="007530C8"/>
    <w:rsid w:val="00783AD2"/>
    <w:rsid w:val="0078752A"/>
    <w:rsid w:val="007C52B3"/>
    <w:rsid w:val="007E7361"/>
    <w:rsid w:val="007F49B1"/>
    <w:rsid w:val="008255CC"/>
    <w:rsid w:val="008548ED"/>
    <w:rsid w:val="008C2770"/>
    <w:rsid w:val="008D4D12"/>
    <w:rsid w:val="00902F11"/>
    <w:rsid w:val="009039E6"/>
    <w:rsid w:val="0091531F"/>
    <w:rsid w:val="00925FE9"/>
    <w:rsid w:val="00934774"/>
    <w:rsid w:val="0095123F"/>
    <w:rsid w:val="00964064"/>
    <w:rsid w:val="00966B6B"/>
    <w:rsid w:val="00984209"/>
    <w:rsid w:val="0099098A"/>
    <w:rsid w:val="0099218F"/>
    <w:rsid w:val="009A738C"/>
    <w:rsid w:val="009E6C01"/>
    <w:rsid w:val="009E72FF"/>
    <w:rsid w:val="009F6A81"/>
    <w:rsid w:val="00A05B22"/>
    <w:rsid w:val="00A14241"/>
    <w:rsid w:val="00A346A8"/>
    <w:rsid w:val="00A47BCF"/>
    <w:rsid w:val="00A53392"/>
    <w:rsid w:val="00A8316D"/>
    <w:rsid w:val="00A90EFE"/>
    <w:rsid w:val="00A955F9"/>
    <w:rsid w:val="00AA7C4A"/>
    <w:rsid w:val="00AD43D9"/>
    <w:rsid w:val="00B04D36"/>
    <w:rsid w:val="00B0676F"/>
    <w:rsid w:val="00B15A7E"/>
    <w:rsid w:val="00B23E0B"/>
    <w:rsid w:val="00B66132"/>
    <w:rsid w:val="00B81615"/>
    <w:rsid w:val="00BB16B1"/>
    <w:rsid w:val="00BF37C4"/>
    <w:rsid w:val="00C06E43"/>
    <w:rsid w:val="00C246CB"/>
    <w:rsid w:val="00C37769"/>
    <w:rsid w:val="00C44772"/>
    <w:rsid w:val="00C46E96"/>
    <w:rsid w:val="00CC5DF6"/>
    <w:rsid w:val="00CD2F46"/>
    <w:rsid w:val="00CE226C"/>
    <w:rsid w:val="00D00DFB"/>
    <w:rsid w:val="00D158B4"/>
    <w:rsid w:val="00D45AB9"/>
    <w:rsid w:val="00D67B4F"/>
    <w:rsid w:val="00D82441"/>
    <w:rsid w:val="00DA42F8"/>
    <w:rsid w:val="00DC3C62"/>
    <w:rsid w:val="00DF3231"/>
    <w:rsid w:val="00DF5811"/>
    <w:rsid w:val="00E113A2"/>
    <w:rsid w:val="00E36D51"/>
    <w:rsid w:val="00E40273"/>
    <w:rsid w:val="00E61FE5"/>
    <w:rsid w:val="00E733C1"/>
    <w:rsid w:val="00F717F6"/>
    <w:rsid w:val="00F72D8D"/>
    <w:rsid w:val="00F763F3"/>
    <w:rsid w:val="00F95B03"/>
    <w:rsid w:val="00F97908"/>
    <w:rsid w:val="00F97FA9"/>
    <w:rsid w:val="00FA02D6"/>
    <w:rsid w:val="00FB703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6EC"/>
  <w15:docId w15:val="{8017F10A-D64E-43AE-BBB5-5AFFFC3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2"/>
  </w:style>
  <w:style w:type="paragraph" w:styleId="Heading1">
    <w:name w:val="heading 1"/>
    <w:basedOn w:val="Normal"/>
    <w:link w:val="Heading1Char"/>
    <w:uiPriority w:val="9"/>
    <w:qFormat/>
    <w:rsid w:val="00304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4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4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01C2"/>
  </w:style>
  <w:style w:type="paragraph" w:customStyle="1" w:styleId="owapara">
    <w:name w:val="owapara"/>
    <w:basedOn w:val="Normal"/>
    <w:rsid w:val="006E104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11/17/opinion/bad-debt-collectors-and-their-prey.html?smprod=nytcore-iphone&amp;smid=nytcore-iphone-share" TargetMode="External"/><Relationship Id="rId13" Type="http://schemas.openxmlformats.org/officeDocument/2006/relationships/hyperlink" Target="http://jpupdates.com/2015/11/23/ny-pa-leticia-james-releases-2015-worst-landlords-li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fy.org/wp-content/uploads/reports/Justice_Disserved.pdf" TargetMode="External"/><Relationship Id="rId12" Type="http://schemas.openxmlformats.org/officeDocument/2006/relationships/hyperlink" Target="http://www.abajournal.com/magazine/article/debt_buying_industry_and_lax_court_review_are_burying_defendants_in_defa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11/14/nyregion/victims-of-debt-collection-scheme-in-new-york-win-59-million-in-settlement.html?smprod=nytcore-iphone&amp;smid=nytcore-iphone-share" TargetMode="External"/><Relationship Id="rId11" Type="http://schemas.openxmlformats.org/officeDocument/2006/relationships/hyperlink" Target="http://nypost.com/2015/11/22/over-350k-new-yorkers-settle-with-shady-debt-collector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buffalonews.com/city-region/debt-collection-settlement-from-class-action-lawsuit-could-benefit-more-than-7000-in-erie-county-2015111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ewyorklawjournal.com/printerfriendly/id=1202742590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3</cp:revision>
  <cp:lastPrinted>2015-04-29T20:53:00Z</cp:lastPrinted>
  <dcterms:created xsi:type="dcterms:W3CDTF">2015-11-25T14:16:00Z</dcterms:created>
  <dcterms:modified xsi:type="dcterms:W3CDTF">2016-03-01T20:00:00Z</dcterms:modified>
</cp:coreProperties>
</file>