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94C20" w14:textId="77777777" w:rsidR="009C0114" w:rsidRDefault="00BE4416" w:rsidP="009C0114">
      <w:r>
        <w:rPr>
          <w:noProof/>
        </w:rPr>
        <w:drawing>
          <wp:anchor distT="0" distB="0" distL="114300" distR="114300" simplePos="0" relativeHeight="251658240" behindDoc="0" locked="0" layoutInCell="1" allowOverlap="1" wp14:anchorId="3CD26A3C" wp14:editId="6F425E0E">
            <wp:simplePos x="0" y="0"/>
            <wp:positionH relativeFrom="margin">
              <wp:posOffset>-89535</wp:posOffset>
            </wp:positionH>
            <wp:positionV relativeFrom="paragraph">
              <wp:posOffset>0</wp:posOffset>
            </wp:positionV>
            <wp:extent cx="1951990" cy="152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Y logo w ta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1990" cy="1524000"/>
                    </a:xfrm>
                    <a:prstGeom prst="rect">
                      <a:avLst/>
                    </a:prstGeom>
                  </pic:spPr>
                </pic:pic>
              </a:graphicData>
            </a:graphic>
          </wp:anchor>
        </w:drawing>
      </w:r>
    </w:p>
    <w:p w14:paraId="720A6A86" w14:textId="77777777" w:rsidR="00BE4416" w:rsidRPr="004738E1" w:rsidRDefault="00BE4416" w:rsidP="00BE4416">
      <w:pPr>
        <w:jc w:val="center"/>
        <w:rPr>
          <w:rFonts w:ascii="Eras Demi ITC" w:hAnsi="Eras Demi ITC"/>
          <w:color w:val="C00000"/>
          <w:sz w:val="72"/>
          <w:szCs w:val="72"/>
        </w:rPr>
      </w:pPr>
      <w:r w:rsidRPr="004738E1">
        <w:rPr>
          <w:rFonts w:ascii="Eras Demi ITC" w:hAnsi="Eras Demi ITC"/>
          <w:color w:val="C00000"/>
          <w:sz w:val="72"/>
          <w:szCs w:val="72"/>
        </w:rPr>
        <w:t>Update</w:t>
      </w:r>
    </w:p>
    <w:p w14:paraId="14A57D1C" w14:textId="77777777" w:rsidR="00BE4416" w:rsidRPr="00DF5811" w:rsidRDefault="00563C54" w:rsidP="00BE4416">
      <w:pPr>
        <w:jc w:val="center"/>
        <w:rPr>
          <w:rFonts w:ascii="Eras Light ITC" w:hAnsi="Eras Light ITC"/>
          <w:color w:val="C00000"/>
          <w:sz w:val="36"/>
          <w:szCs w:val="72"/>
        </w:rPr>
      </w:pPr>
      <w:r>
        <w:rPr>
          <w:rFonts w:ascii="Eras Light ITC" w:hAnsi="Eras Light ITC"/>
          <w:color w:val="C00000"/>
          <w:sz w:val="36"/>
          <w:szCs w:val="72"/>
        </w:rPr>
        <w:t>April</w:t>
      </w:r>
      <w:r w:rsidR="00D22CB5">
        <w:rPr>
          <w:rFonts w:ascii="Eras Light ITC" w:hAnsi="Eras Light ITC"/>
          <w:color w:val="C00000"/>
          <w:sz w:val="36"/>
          <w:szCs w:val="72"/>
        </w:rPr>
        <w:t xml:space="preserve"> 2017</w:t>
      </w:r>
    </w:p>
    <w:p w14:paraId="2BBD5A57" w14:textId="77777777" w:rsidR="00BE4416" w:rsidRDefault="00BE4416" w:rsidP="009C0114"/>
    <w:p w14:paraId="1A3F73CE" w14:textId="77777777" w:rsidR="00681003" w:rsidRPr="00870AEC" w:rsidRDefault="00563C54" w:rsidP="00681003">
      <w:pPr>
        <w:jc w:val="center"/>
        <w:rPr>
          <w:rFonts w:ascii="Eras Medium ITC" w:hAnsi="Eras Medium ITC"/>
          <w:color w:val="26CAD3"/>
          <w:sz w:val="20"/>
        </w:rPr>
      </w:pPr>
      <w:r w:rsidRPr="00870AEC">
        <w:rPr>
          <w:rFonts w:ascii="Eras Medium ITC" w:hAnsi="Eras Medium ITC"/>
          <w:color w:val="26CAD3"/>
          <w:sz w:val="24"/>
          <w:szCs w:val="26"/>
        </w:rPr>
        <w:t xml:space="preserve">On or about June 1, 2017 </w:t>
      </w:r>
      <w:r w:rsidR="00681003" w:rsidRPr="00870AEC">
        <w:rPr>
          <w:rFonts w:ascii="Eras Medium ITC" w:hAnsi="Eras Medium ITC"/>
          <w:color w:val="26CAD3"/>
          <w:sz w:val="24"/>
          <w:szCs w:val="26"/>
        </w:rPr>
        <w:t>MFY will become</w:t>
      </w:r>
      <w:r w:rsidRPr="00870AEC">
        <w:rPr>
          <w:rFonts w:ascii="Eras Medium ITC" w:hAnsi="Eras Medium ITC"/>
          <w:color w:val="26CAD3"/>
          <w:sz w:val="24"/>
          <w:szCs w:val="26"/>
        </w:rPr>
        <w:br/>
      </w:r>
      <w:r w:rsidR="00681003" w:rsidRPr="00870AEC">
        <w:rPr>
          <w:rFonts w:ascii="Eras Demi ITC" w:hAnsi="Eras Demi ITC"/>
          <w:color w:val="26CAD3"/>
          <w:sz w:val="24"/>
          <w:szCs w:val="26"/>
        </w:rPr>
        <w:t>MOBILIZATION FOR JUSTICE</w:t>
      </w:r>
      <w:r w:rsidR="00681003" w:rsidRPr="00870AEC">
        <w:rPr>
          <w:rFonts w:ascii="Eras Medium ITC" w:hAnsi="Eras Medium ITC"/>
          <w:color w:val="26CAD3"/>
          <w:sz w:val="24"/>
          <w:szCs w:val="26"/>
        </w:rPr>
        <w:t>.</w:t>
      </w:r>
    </w:p>
    <w:p w14:paraId="0F4A6228" w14:textId="77777777" w:rsidR="00BE4416" w:rsidRPr="00563C54" w:rsidRDefault="00BE4416" w:rsidP="009C0114">
      <w:pPr>
        <w:rPr>
          <w:color w:val="7030A0"/>
        </w:rPr>
      </w:pPr>
    </w:p>
    <w:p w14:paraId="33A4547A" w14:textId="77777777" w:rsidR="003D31AF" w:rsidRDefault="003D31AF" w:rsidP="00110258">
      <w:pPr>
        <w:rPr>
          <w:rFonts w:ascii="Eras Demi ITC" w:hAnsi="Eras Demi ITC"/>
          <w:color w:val="C00000"/>
          <w:sz w:val="12"/>
          <w:szCs w:val="26"/>
        </w:rPr>
      </w:pPr>
    </w:p>
    <w:p w14:paraId="42498BC9" w14:textId="77777777" w:rsidR="00681003" w:rsidRPr="00CB13BA" w:rsidRDefault="00681003" w:rsidP="00681003">
      <w:pPr>
        <w:rPr>
          <w:rFonts w:asciiTheme="minorHAnsi" w:eastAsia="Times New Roman" w:hAnsiTheme="minorHAnsi"/>
        </w:rPr>
      </w:pPr>
    </w:p>
    <w:p w14:paraId="1A847217" w14:textId="77777777" w:rsidR="00D305EA" w:rsidRDefault="00E4170D">
      <w:pPr>
        <w:rPr>
          <w:rFonts w:ascii="Eras Demi ITC" w:hAnsi="Eras Demi ITC"/>
          <w:color w:val="C00000"/>
          <w:sz w:val="26"/>
          <w:szCs w:val="26"/>
        </w:rPr>
      </w:pPr>
      <w:r>
        <w:rPr>
          <w:rFonts w:ascii="Eras Demi ITC" w:hAnsi="Eras Demi ITC"/>
          <w:color w:val="C00000"/>
          <w:sz w:val="26"/>
          <w:szCs w:val="26"/>
        </w:rPr>
        <w:t>MFY Launches New Taxpayer Assistance Project</w:t>
      </w:r>
    </w:p>
    <w:p w14:paraId="6619AE8D" w14:textId="77777777" w:rsidR="00D305EA" w:rsidRPr="00681003" w:rsidRDefault="00D305EA">
      <w:pPr>
        <w:rPr>
          <w:rFonts w:ascii="Eras Demi ITC" w:hAnsi="Eras Demi ITC"/>
          <w:color w:val="C00000"/>
          <w:sz w:val="14"/>
          <w:szCs w:val="26"/>
        </w:rPr>
      </w:pPr>
    </w:p>
    <w:p w14:paraId="024A3B08" w14:textId="3007E612" w:rsidR="00DC5E28" w:rsidRDefault="00E4170D" w:rsidP="00DC5E28">
      <w:r>
        <w:rPr>
          <w:noProof/>
        </w:rPr>
        <w:drawing>
          <wp:anchor distT="0" distB="91440" distL="114300" distR="114300" simplePos="0" relativeHeight="251660288" behindDoc="0" locked="0" layoutInCell="1" allowOverlap="1" wp14:anchorId="601F2C41" wp14:editId="26F1AC7B">
            <wp:simplePos x="0" y="0"/>
            <wp:positionH relativeFrom="margin">
              <wp:align>left</wp:align>
            </wp:positionH>
            <wp:positionV relativeFrom="paragraph">
              <wp:posOffset>0</wp:posOffset>
            </wp:positionV>
            <wp:extent cx="1600200" cy="1024128"/>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x page im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200" cy="1024128"/>
                    </a:xfrm>
                    <a:prstGeom prst="rect">
                      <a:avLst/>
                    </a:prstGeom>
                  </pic:spPr>
                </pic:pic>
              </a:graphicData>
            </a:graphic>
            <wp14:sizeRelH relativeFrom="page">
              <wp14:pctWidth>0</wp14:pctWidth>
            </wp14:sizeRelH>
            <wp14:sizeRelV relativeFrom="page">
              <wp14:pctHeight>0</wp14:pctHeight>
            </wp14:sizeRelV>
          </wp:anchor>
        </w:drawing>
      </w:r>
      <w:r w:rsidR="00DC5E28">
        <w:t xml:space="preserve"> </w:t>
      </w:r>
      <w:r>
        <w:t xml:space="preserve">Low- income </w:t>
      </w:r>
      <w:r w:rsidR="009108E4">
        <w:t xml:space="preserve">and working poor </w:t>
      </w:r>
      <w:r>
        <w:t>taxpayers who have disputes before the IRS have few places to go for legal help. Recognizing this gap in legal services, MFY has launched a new Taxpayer Assistance Project to provide assistance with tax audits and examinations; Earned Income Tax Credit appeals; liens and levies; employee/independent contractor disputes; injured spouse claims; innocent spouse relief requests; and identify theft.  “Tax disputes often result in large liens, levies or the denial of refunds. For low-income New Yorkers, these penalties can prevent them from meeting other financial commitments, like rent or mortgage payments, which cause a host of civil legal issues,” said MFY Attorney Christopher Fasano, who is leading the project.</w:t>
      </w:r>
    </w:p>
    <w:p w14:paraId="74C75348" w14:textId="77777777" w:rsidR="00AA524B" w:rsidRDefault="00AA524B">
      <w:pPr>
        <w:rPr>
          <w:rFonts w:ascii="Eras Demi ITC" w:hAnsi="Eras Demi ITC"/>
          <w:color w:val="C00000"/>
          <w:sz w:val="26"/>
          <w:szCs w:val="26"/>
        </w:rPr>
      </w:pPr>
    </w:p>
    <w:p w14:paraId="1DD2E5E6" w14:textId="77777777" w:rsidR="00681003" w:rsidRDefault="00E4170D" w:rsidP="00681003">
      <w:pPr>
        <w:rPr>
          <w:rFonts w:ascii="Eras Demi ITC" w:hAnsi="Eras Demi ITC"/>
          <w:color w:val="C00000"/>
          <w:sz w:val="26"/>
          <w:szCs w:val="26"/>
        </w:rPr>
      </w:pPr>
      <w:r>
        <w:rPr>
          <w:rFonts w:ascii="Eras Demi ITC" w:hAnsi="Eras Demi ITC"/>
          <w:color w:val="C00000"/>
          <w:sz w:val="26"/>
          <w:szCs w:val="26"/>
        </w:rPr>
        <w:t>MFY’s Anti-Eviction Cases in the Bronx Up 300% Over Past Year</w:t>
      </w:r>
    </w:p>
    <w:p w14:paraId="3ECA72F5" w14:textId="77777777" w:rsidR="00681003" w:rsidRPr="00681003" w:rsidRDefault="00681003" w:rsidP="00681003">
      <w:pPr>
        <w:rPr>
          <w:rFonts w:ascii="Eras Demi ITC" w:hAnsi="Eras Demi ITC"/>
          <w:color w:val="C00000"/>
          <w:sz w:val="14"/>
          <w:szCs w:val="26"/>
        </w:rPr>
      </w:pPr>
    </w:p>
    <w:p w14:paraId="77A90900" w14:textId="5BA6B723" w:rsidR="00681003" w:rsidRPr="00507EC0" w:rsidRDefault="00864F2C" w:rsidP="00681003">
      <w:pPr>
        <w:rPr>
          <w:rFonts w:asciiTheme="minorHAnsi" w:eastAsia="Times New Roman" w:hAnsiTheme="minorHAnsi"/>
        </w:rPr>
      </w:pPr>
      <w:r>
        <w:rPr>
          <w:rFonts w:asciiTheme="minorHAnsi" w:eastAsia="Times New Roman" w:hAnsiTheme="minorHAnsi"/>
        </w:rPr>
        <w:t xml:space="preserve">Over the past year, MFY Legal Services has tripled the number of Bronx tenants </w:t>
      </w:r>
      <w:r w:rsidR="002937F7">
        <w:rPr>
          <w:rFonts w:asciiTheme="minorHAnsi" w:eastAsia="Times New Roman" w:hAnsiTheme="minorHAnsi"/>
        </w:rPr>
        <w:t xml:space="preserve">whose affordable housing </w:t>
      </w:r>
      <w:r>
        <w:rPr>
          <w:rFonts w:asciiTheme="minorHAnsi" w:eastAsia="Times New Roman" w:hAnsiTheme="minorHAnsi"/>
        </w:rPr>
        <w:t xml:space="preserve">it helps preserve. In 2016, MFY’s housing attorneys handled some 1,500 cases in </w:t>
      </w:r>
      <w:r w:rsidR="002937F7">
        <w:rPr>
          <w:rFonts w:asciiTheme="minorHAnsi" w:eastAsia="Times New Roman" w:hAnsiTheme="minorHAnsi"/>
        </w:rPr>
        <w:t>Bronx H</w:t>
      </w:r>
      <w:r>
        <w:rPr>
          <w:rFonts w:asciiTheme="minorHAnsi" w:eastAsia="Times New Roman" w:hAnsiTheme="minorHAnsi"/>
        </w:rPr>
        <w:t xml:space="preserve">ousing </w:t>
      </w:r>
      <w:r w:rsidR="002937F7">
        <w:rPr>
          <w:rFonts w:asciiTheme="minorHAnsi" w:eastAsia="Times New Roman" w:hAnsiTheme="minorHAnsi"/>
        </w:rPr>
        <w:t>C</w:t>
      </w:r>
      <w:r>
        <w:rPr>
          <w:rFonts w:asciiTheme="minorHAnsi" w:eastAsia="Times New Roman" w:hAnsiTheme="minorHAnsi"/>
        </w:rPr>
        <w:t xml:space="preserve">ourt, and the numbers show no sign of abating. A March 2017 report by the Regional Plan Association found that 71% of the borough’s census tracks, with 355,420 households, are at risk of displacement. The vast majority of these households are low-income renters or families that pay an outsize share of their income on rent.  “The Bronx is rapidly gentrifying and landlords are using every </w:t>
      </w:r>
      <w:r w:rsidR="002937F7">
        <w:rPr>
          <w:rFonts w:asciiTheme="minorHAnsi" w:eastAsia="Times New Roman" w:hAnsiTheme="minorHAnsi"/>
        </w:rPr>
        <w:t>strong-arm</w:t>
      </w:r>
      <w:r>
        <w:rPr>
          <w:rFonts w:asciiTheme="minorHAnsi" w:eastAsia="Times New Roman" w:hAnsiTheme="minorHAnsi"/>
        </w:rPr>
        <w:t xml:space="preserve"> tactic in the book to force out tenants,” said MFY housing supervisor Leah Goodridge. “But we have </w:t>
      </w:r>
      <w:r w:rsidR="002937F7">
        <w:rPr>
          <w:rFonts w:asciiTheme="minorHAnsi" w:eastAsia="Times New Roman" w:hAnsiTheme="minorHAnsi"/>
        </w:rPr>
        <w:t xml:space="preserve">more than a dozen </w:t>
      </w:r>
      <w:r>
        <w:rPr>
          <w:rFonts w:asciiTheme="minorHAnsi" w:eastAsia="Times New Roman" w:hAnsiTheme="minorHAnsi"/>
        </w:rPr>
        <w:t>highly skilled and determined attorneys saving apartments every day in housing court,” she said.</w:t>
      </w:r>
    </w:p>
    <w:p w14:paraId="2ACB49B3" w14:textId="77777777" w:rsidR="00681003" w:rsidRDefault="00681003" w:rsidP="00681003">
      <w:pPr>
        <w:rPr>
          <w:rFonts w:ascii="Eras Demi ITC" w:hAnsi="Eras Demi ITC"/>
          <w:color w:val="C00000"/>
          <w:sz w:val="26"/>
          <w:szCs w:val="26"/>
        </w:rPr>
      </w:pPr>
    </w:p>
    <w:p w14:paraId="53D725E1" w14:textId="77777777" w:rsidR="00681003" w:rsidRDefault="004560A4" w:rsidP="00681003">
      <w:pPr>
        <w:rPr>
          <w:rFonts w:ascii="Eras Demi ITC" w:hAnsi="Eras Demi ITC"/>
          <w:color w:val="C00000"/>
          <w:sz w:val="26"/>
          <w:szCs w:val="26"/>
        </w:rPr>
      </w:pPr>
      <w:r>
        <w:rPr>
          <w:rFonts w:ascii="Eras Demi ITC" w:hAnsi="Eras Demi ITC"/>
          <w:color w:val="C00000"/>
          <w:sz w:val="26"/>
          <w:szCs w:val="26"/>
        </w:rPr>
        <w:t>Court Rules that Substance Abuse Counsellor Was Unfairly Dismissed</w:t>
      </w:r>
    </w:p>
    <w:p w14:paraId="7FD4F802" w14:textId="77777777" w:rsidR="00681003" w:rsidRPr="00681003" w:rsidRDefault="00681003" w:rsidP="00681003">
      <w:pPr>
        <w:rPr>
          <w:rFonts w:ascii="Eras Demi ITC" w:hAnsi="Eras Demi ITC"/>
          <w:color w:val="C00000"/>
          <w:sz w:val="14"/>
          <w:szCs w:val="26"/>
        </w:rPr>
      </w:pPr>
    </w:p>
    <w:p w14:paraId="283B6BAD" w14:textId="53E59724" w:rsidR="00681003" w:rsidRDefault="004560A4">
      <w:pPr>
        <w:rPr>
          <w:rFonts w:asciiTheme="minorHAnsi" w:eastAsia="Times New Roman" w:hAnsiTheme="minorHAnsi"/>
        </w:rPr>
      </w:pPr>
      <w:r>
        <w:rPr>
          <w:rFonts w:asciiTheme="minorHAnsi" w:eastAsia="Times New Roman" w:hAnsiTheme="minorHAnsi"/>
        </w:rPr>
        <w:t xml:space="preserve">Darrell Dudley, who had worked as a substance abuse counselor at </w:t>
      </w:r>
      <w:proofErr w:type="spellStart"/>
      <w:r>
        <w:rPr>
          <w:rFonts w:asciiTheme="minorHAnsi" w:eastAsia="Times New Roman" w:hAnsiTheme="minorHAnsi"/>
        </w:rPr>
        <w:t>Rikers</w:t>
      </w:r>
      <w:proofErr w:type="spellEnd"/>
      <w:r>
        <w:rPr>
          <w:rFonts w:asciiTheme="minorHAnsi" w:eastAsia="Times New Roman" w:hAnsiTheme="minorHAnsi"/>
        </w:rPr>
        <w:t xml:space="preserve"> Island for eight years, was denied a security clearance after the City reviewed the backgrounds of 28 employees of a private contractor after two of the employees were involved in a contraband incident. Despite </w:t>
      </w:r>
      <w:r w:rsidR="00563B48">
        <w:rPr>
          <w:rFonts w:asciiTheme="minorHAnsi" w:eastAsia="Times New Roman" w:hAnsiTheme="minorHAnsi"/>
        </w:rPr>
        <w:t>his</w:t>
      </w:r>
      <w:r>
        <w:rPr>
          <w:rFonts w:asciiTheme="minorHAnsi" w:eastAsia="Times New Roman" w:hAnsiTheme="minorHAnsi"/>
        </w:rPr>
        <w:t xml:space="preserve"> </w:t>
      </w:r>
      <w:r w:rsidR="00563B48">
        <w:rPr>
          <w:rFonts w:asciiTheme="minorHAnsi" w:eastAsia="Times New Roman" w:hAnsiTheme="minorHAnsi"/>
        </w:rPr>
        <w:t>good performance on the job, Dudley was denied a security clearance based on</w:t>
      </w:r>
      <w:r w:rsidR="0042302C">
        <w:rPr>
          <w:rFonts w:asciiTheme="minorHAnsi" w:eastAsia="Times New Roman" w:hAnsiTheme="minorHAnsi"/>
        </w:rPr>
        <w:t xml:space="preserve"> a</w:t>
      </w:r>
      <w:r w:rsidR="00563B48">
        <w:rPr>
          <w:rFonts w:asciiTheme="minorHAnsi" w:eastAsia="Times New Roman" w:hAnsiTheme="minorHAnsi"/>
        </w:rPr>
        <w:t xml:space="preserve"> decades-old </w:t>
      </w:r>
      <w:r w:rsidR="0042302C">
        <w:rPr>
          <w:rFonts w:asciiTheme="minorHAnsi" w:eastAsia="Times New Roman" w:hAnsiTheme="minorHAnsi"/>
        </w:rPr>
        <w:t>misdemeanor conviction</w:t>
      </w:r>
      <w:r w:rsidR="00563B48">
        <w:rPr>
          <w:rFonts w:asciiTheme="minorHAnsi" w:eastAsia="Times New Roman" w:hAnsiTheme="minorHAnsi"/>
        </w:rPr>
        <w:t xml:space="preserve">. MFY senior attorney Bernadette Jentsch represented Dudley, arguing that </w:t>
      </w:r>
      <w:r w:rsidR="0042302C">
        <w:rPr>
          <w:rFonts w:asciiTheme="minorHAnsi" w:eastAsia="Times New Roman" w:hAnsiTheme="minorHAnsi"/>
        </w:rPr>
        <w:t>the Department of Corrections’ review process failed to consider all factors as required by law.</w:t>
      </w:r>
      <w:r w:rsidR="00563B48">
        <w:rPr>
          <w:rFonts w:asciiTheme="minorHAnsi" w:eastAsia="Times New Roman" w:hAnsiTheme="minorHAnsi"/>
        </w:rPr>
        <w:t xml:space="preserve"> The</w:t>
      </w:r>
      <w:r w:rsidR="00870AEC">
        <w:rPr>
          <w:rFonts w:asciiTheme="minorHAnsi" w:eastAsia="Times New Roman" w:hAnsiTheme="minorHAnsi"/>
        </w:rPr>
        <w:t xml:space="preserve"> judge</w:t>
      </w:r>
      <w:hyperlink r:id="rId7" w:anchor="/article/1202784421338/Judge-Says-NYC-Security-Check-Resulted-in-Civilians-Unfair-Dismissal?_almReferrer=https:%2F%2Fwww.google.com%2F" w:history="1">
        <w:r w:rsidR="00C50559">
          <w:rPr>
            <w:rStyle w:val="Hyperlink"/>
            <w:rFonts w:asciiTheme="minorHAnsi" w:eastAsia="Times New Roman" w:hAnsiTheme="minorHAnsi"/>
          </w:rPr>
          <w:t xml:space="preserve"> agreed and </w:t>
        </w:r>
        <w:r w:rsidR="00C50559" w:rsidRPr="00563B48">
          <w:rPr>
            <w:rStyle w:val="Hyperlink"/>
            <w:rFonts w:asciiTheme="minorHAnsi" w:eastAsia="Times New Roman" w:hAnsiTheme="minorHAnsi"/>
          </w:rPr>
          <w:t>ordered Dudley reinstated.</w:t>
        </w:r>
      </w:hyperlink>
    </w:p>
    <w:p w14:paraId="0A9E8492" w14:textId="77777777" w:rsidR="0064297D" w:rsidRDefault="0064297D">
      <w:pPr>
        <w:rPr>
          <w:rFonts w:ascii="Eras Demi ITC" w:hAnsi="Eras Demi ITC"/>
          <w:color w:val="C00000"/>
          <w:sz w:val="26"/>
          <w:szCs w:val="26"/>
        </w:rPr>
      </w:pPr>
    </w:p>
    <w:p w14:paraId="7E509BC5" w14:textId="77777777" w:rsidR="009C0114" w:rsidRPr="00BE4416" w:rsidRDefault="00BE4416">
      <w:pPr>
        <w:rPr>
          <w:rFonts w:ascii="Eras Demi ITC" w:hAnsi="Eras Demi ITC"/>
          <w:color w:val="C00000"/>
          <w:sz w:val="26"/>
          <w:szCs w:val="26"/>
        </w:rPr>
      </w:pPr>
      <w:r w:rsidRPr="00BE4416">
        <w:rPr>
          <w:rFonts w:ascii="Eras Demi ITC" w:hAnsi="Eras Demi ITC"/>
          <w:color w:val="C00000"/>
          <w:sz w:val="26"/>
          <w:szCs w:val="26"/>
        </w:rPr>
        <w:t xml:space="preserve">MFY in the News . . . </w:t>
      </w:r>
    </w:p>
    <w:p w14:paraId="7574C063" w14:textId="77777777" w:rsidR="00EF6FCE" w:rsidRDefault="00EF6FCE">
      <w:pPr>
        <w:rPr>
          <w:sz w:val="12"/>
        </w:rPr>
      </w:pPr>
    </w:p>
    <w:p w14:paraId="1B057E7E" w14:textId="77777777" w:rsidR="00563B48" w:rsidRDefault="00563B48">
      <w:r>
        <w:t xml:space="preserve">The media continues to look at New York State’s attempts to thwart the landmark settlement allowing some 4,000 adult home residents with mental illness to move to supported housing in the community. Read the reports in </w:t>
      </w:r>
      <w:hyperlink r:id="rId8" w:history="1">
        <w:r w:rsidRPr="00563B48">
          <w:rPr>
            <w:rStyle w:val="Hyperlink"/>
          </w:rPr>
          <w:t xml:space="preserve">Pro </w:t>
        </w:r>
        <w:proofErr w:type="spellStart"/>
        <w:r w:rsidRPr="00563B48">
          <w:rPr>
            <w:rStyle w:val="Hyperlink"/>
          </w:rPr>
          <w:t>Publica</w:t>
        </w:r>
        <w:proofErr w:type="spellEnd"/>
      </w:hyperlink>
      <w:r>
        <w:t xml:space="preserve"> and in the </w:t>
      </w:r>
      <w:hyperlink r:id="rId9" w:history="1">
        <w:r w:rsidRPr="00563B48">
          <w:rPr>
            <w:rStyle w:val="Hyperlink"/>
          </w:rPr>
          <w:t>New York Law Journal</w:t>
        </w:r>
      </w:hyperlink>
      <w:r>
        <w:t>.</w:t>
      </w:r>
    </w:p>
    <w:p w14:paraId="56D81BA2" w14:textId="77777777" w:rsidR="00F72491" w:rsidRDefault="00F72491"/>
    <w:p w14:paraId="28750495" w14:textId="7C969DFA" w:rsidR="00F72491" w:rsidRDefault="00F72491" w:rsidP="00F72491">
      <w:r>
        <w:t xml:space="preserve">MFY </w:t>
      </w:r>
      <w:r>
        <w:t>A</w:t>
      </w:r>
      <w:r>
        <w:t xml:space="preserve">ttorney Evan Denerstein speaks out on the </w:t>
      </w:r>
      <w:hyperlink r:id="rId10" w:history="1">
        <w:r w:rsidRPr="00F72491">
          <w:rPr>
            <w:rStyle w:val="Hyperlink"/>
          </w:rPr>
          <w:t>student loan crisis and legislation</w:t>
        </w:r>
      </w:hyperlink>
      <w:r>
        <w:t xml:space="preserve"> introduced in the NYS legislature to regulate student loan servicers.</w:t>
      </w:r>
    </w:p>
    <w:p w14:paraId="63EF592D" w14:textId="6EFEBE0E" w:rsidR="00F72491" w:rsidRDefault="00F72491" w:rsidP="00F72491">
      <w:r>
        <w:lastRenderedPageBreak/>
        <w:t xml:space="preserve">MFY Supervising Attorney Justin </w:t>
      </w:r>
      <w:proofErr w:type="spellStart"/>
      <w:r>
        <w:t>LaMort</w:t>
      </w:r>
      <w:proofErr w:type="spellEnd"/>
      <w:r>
        <w:t xml:space="preserve"> comments on </w:t>
      </w:r>
      <w:hyperlink r:id="rId11" w:history="1">
        <w:r w:rsidRPr="00F72491">
          <w:rPr>
            <w:rStyle w:val="Hyperlink"/>
          </w:rPr>
          <w:t>landlords who illegally dispose of tenants’ property</w:t>
        </w:r>
      </w:hyperlink>
      <w:r>
        <w:t xml:space="preserve"> </w:t>
      </w:r>
      <w:bookmarkStart w:id="0" w:name="_GoBack"/>
      <w:bookmarkEnd w:id="0"/>
      <w:r>
        <w:t>during a bedbug extermination in this Village Voice article.</w:t>
      </w:r>
    </w:p>
    <w:p w14:paraId="3BA8F1C0" w14:textId="77777777" w:rsidR="00F72491" w:rsidRPr="00563B48" w:rsidRDefault="00F72491"/>
    <w:sectPr w:rsidR="00F72491" w:rsidRPr="00563B48" w:rsidSect="00CF2082">
      <w:pgSz w:w="12240" w:h="15840"/>
      <w:pgMar w:top="1440"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14"/>
    <w:rsid w:val="000538C8"/>
    <w:rsid w:val="0006270B"/>
    <w:rsid w:val="000860F4"/>
    <w:rsid w:val="000E5AAE"/>
    <w:rsid w:val="00110258"/>
    <w:rsid w:val="00111960"/>
    <w:rsid w:val="00124255"/>
    <w:rsid w:val="00142627"/>
    <w:rsid w:val="00183325"/>
    <w:rsid w:val="00196BC3"/>
    <w:rsid w:val="001D117A"/>
    <w:rsid w:val="001D6A63"/>
    <w:rsid w:val="00225093"/>
    <w:rsid w:val="00240A59"/>
    <w:rsid w:val="00270875"/>
    <w:rsid w:val="002937F7"/>
    <w:rsid w:val="002F7748"/>
    <w:rsid w:val="003063FC"/>
    <w:rsid w:val="00336178"/>
    <w:rsid w:val="00346908"/>
    <w:rsid w:val="00377428"/>
    <w:rsid w:val="00393BB7"/>
    <w:rsid w:val="003A2B58"/>
    <w:rsid w:val="003D31AF"/>
    <w:rsid w:val="003E06C9"/>
    <w:rsid w:val="0042302C"/>
    <w:rsid w:val="004560A4"/>
    <w:rsid w:val="0049399A"/>
    <w:rsid w:val="004A421E"/>
    <w:rsid w:val="004A4316"/>
    <w:rsid w:val="005545F5"/>
    <w:rsid w:val="00563B48"/>
    <w:rsid w:val="00563C54"/>
    <w:rsid w:val="005B6910"/>
    <w:rsid w:val="005D2F2B"/>
    <w:rsid w:val="00601FCE"/>
    <w:rsid w:val="0064297D"/>
    <w:rsid w:val="006513FF"/>
    <w:rsid w:val="006726F0"/>
    <w:rsid w:val="00681003"/>
    <w:rsid w:val="006A29E8"/>
    <w:rsid w:val="006D3138"/>
    <w:rsid w:val="0070503E"/>
    <w:rsid w:val="00710CE3"/>
    <w:rsid w:val="00734FA0"/>
    <w:rsid w:val="007478BE"/>
    <w:rsid w:val="007D6ACB"/>
    <w:rsid w:val="00835E69"/>
    <w:rsid w:val="008453A8"/>
    <w:rsid w:val="00851F99"/>
    <w:rsid w:val="00864F2C"/>
    <w:rsid w:val="00870AEC"/>
    <w:rsid w:val="00902DDB"/>
    <w:rsid w:val="009108E4"/>
    <w:rsid w:val="00933C8A"/>
    <w:rsid w:val="00985B8B"/>
    <w:rsid w:val="009B30AE"/>
    <w:rsid w:val="009C0114"/>
    <w:rsid w:val="009D17B1"/>
    <w:rsid w:val="009E4EB1"/>
    <w:rsid w:val="00A3760B"/>
    <w:rsid w:val="00AA524B"/>
    <w:rsid w:val="00AB0F9D"/>
    <w:rsid w:val="00AB3FB6"/>
    <w:rsid w:val="00AC7241"/>
    <w:rsid w:val="00AD523D"/>
    <w:rsid w:val="00AE583A"/>
    <w:rsid w:val="00B336C4"/>
    <w:rsid w:val="00BE4416"/>
    <w:rsid w:val="00BF4E46"/>
    <w:rsid w:val="00C44F7A"/>
    <w:rsid w:val="00C50559"/>
    <w:rsid w:val="00C52746"/>
    <w:rsid w:val="00C67FF3"/>
    <w:rsid w:val="00CA2850"/>
    <w:rsid w:val="00CD1947"/>
    <w:rsid w:val="00CD72E9"/>
    <w:rsid w:val="00CF2082"/>
    <w:rsid w:val="00D22CB5"/>
    <w:rsid w:val="00D305EA"/>
    <w:rsid w:val="00D73392"/>
    <w:rsid w:val="00DC5E28"/>
    <w:rsid w:val="00DF16C8"/>
    <w:rsid w:val="00DF7265"/>
    <w:rsid w:val="00E21672"/>
    <w:rsid w:val="00E4170D"/>
    <w:rsid w:val="00E61895"/>
    <w:rsid w:val="00EB46AD"/>
    <w:rsid w:val="00EC00C7"/>
    <w:rsid w:val="00EF6FCE"/>
    <w:rsid w:val="00F361C0"/>
    <w:rsid w:val="00F6677E"/>
    <w:rsid w:val="00F72491"/>
    <w:rsid w:val="00FA3528"/>
    <w:rsid w:val="00FA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BF75"/>
  <w15:docId w15:val="{1D14C08E-8DA8-4675-A06D-821BB66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11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114"/>
    <w:rPr>
      <w:color w:val="0563C1" w:themeColor="hyperlink"/>
      <w:u w:val="single"/>
    </w:rPr>
  </w:style>
  <w:style w:type="character" w:styleId="FollowedHyperlink">
    <w:name w:val="FollowedHyperlink"/>
    <w:basedOn w:val="DefaultParagraphFont"/>
    <w:uiPriority w:val="99"/>
    <w:semiHidden/>
    <w:unhideWhenUsed/>
    <w:rsid w:val="00110258"/>
    <w:rPr>
      <w:color w:val="954F72" w:themeColor="followedHyperlink"/>
      <w:u w:val="single"/>
    </w:rPr>
  </w:style>
  <w:style w:type="character" w:styleId="CommentReference">
    <w:name w:val="annotation reference"/>
    <w:basedOn w:val="DefaultParagraphFont"/>
    <w:uiPriority w:val="99"/>
    <w:semiHidden/>
    <w:unhideWhenUsed/>
    <w:rsid w:val="00601FCE"/>
    <w:rPr>
      <w:sz w:val="16"/>
      <w:szCs w:val="16"/>
    </w:rPr>
  </w:style>
  <w:style w:type="paragraph" w:styleId="CommentText">
    <w:name w:val="annotation text"/>
    <w:basedOn w:val="Normal"/>
    <w:link w:val="CommentTextChar"/>
    <w:uiPriority w:val="99"/>
    <w:semiHidden/>
    <w:unhideWhenUsed/>
    <w:rsid w:val="00601FCE"/>
    <w:rPr>
      <w:sz w:val="20"/>
      <w:szCs w:val="20"/>
    </w:rPr>
  </w:style>
  <w:style w:type="character" w:customStyle="1" w:styleId="CommentTextChar">
    <w:name w:val="Comment Text Char"/>
    <w:basedOn w:val="DefaultParagraphFont"/>
    <w:link w:val="CommentText"/>
    <w:uiPriority w:val="99"/>
    <w:semiHidden/>
    <w:rsid w:val="00601F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1FCE"/>
    <w:rPr>
      <w:b/>
      <w:bCs/>
    </w:rPr>
  </w:style>
  <w:style w:type="character" w:customStyle="1" w:styleId="CommentSubjectChar">
    <w:name w:val="Comment Subject Char"/>
    <w:basedOn w:val="CommentTextChar"/>
    <w:link w:val="CommentSubject"/>
    <w:uiPriority w:val="99"/>
    <w:semiHidden/>
    <w:rsid w:val="00601FCE"/>
    <w:rPr>
      <w:rFonts w:ascii="Calibri" w:hAnsi="Calibri" w:cs="Times New Roman"/>
      <w:b/>
      <w:bCs/>
      <w:sz w:val="20"/>
      <w:szCs w:val="20"/>
    </w:rPr>
  </w:style>
  <w:style w:type="paragraph" w:styleId="BalloonText">
    <w:name w:val="Balloon Text"/>
    <w:basedOn w:val="Normal"/>
    <w:link w:val="BalloonTextChar"/>
    <w:uiPriority w:val="99"/>
    <w:semiHidden/>
    <w:unhideWhenUsed/>
    <w:rsid w:val="00601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CE"/>
    <w:rPr>
      <w:rFonts w:ascii="Segoe UI" w:hAnsi="Segoe UI" w:cs="Segoe UI"/>
      <w:sz w:val="18"/>
      <w:szCs w:val="18"/>
    </w:rPr>
  </w:style>
  <w:style w:type="paragraph" w:styleId="Revision">
    <w:name w:val="Revision"/>
    <w:hidden/>
    <w:uiPriority w:val="99"/>
    <w:semiHidden/>
    <w:rsid w:val="00DF7265"/>
    <w:rPr>
      <w:rFonts w:ascii="Calibri" w:hAnsi="Calibri" w:cs="Times New Roman"/>
    </w:rPr>
  </w:style>
  <w:style w:type="paragraph" w:styleId="NormalWeb">
    <w:name w:val="Normal (Web)"/>
    <w:basedOn w:val="Normal"/>
    <w:uiPriority w:val="99"/>
    <w:unhideWhenUsed/>
    <w:rsid w:val="00D22C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4629">
      <w:bodyDiv w:val="1"/>
      <w:marLeft w:val="0"/>
      <w:marRight w:val="0"/>
      <w:marTop w:val="0"/>
      <w:marBottom w:val="0"/>
      <w:divBdr>
        <w:top w:val="none" w:sz="0" w:space="0" w:color="auto"/>
        <w:left w:val="none" w:sz="0" w:space="0" w:color="auto"/>
        <w:bottom w:val="none" w:sz="0" w:space="0" w:color="auto"/>
        <w:right w:val="none" w:sz="0" w:space="0" w:color="auto"/>
      </w:divBdr>
    </w:div>
    <w:div w:id="452750137">
      <w:bodyDiv w:val="1"/>
      <w:marLeft w:val="0"/>
      <w:marRight w:val="0"/>
      <w:marTop w:val="0"/>
      <w:marBottom w:val="0"/>
      <w:divBdr>
        <w:top w:val="none" w:sz="0" w:space="0" w:color="auto"/>
        <w:left w:val="none" w:sz="0" w:space="0" w:color="auto"/>
        <w:bottom w:val="none" w:sz="0" w:space="0" w:color="auto"/>
        <w:right w:val="none" w:sz="0" w:space="0" w:color="auto"/>
      </w:divBdr>
    </w:div>
    <w:div w:id="1128662291">
      <w:bodyDiv w:val="1"/>
      <w:marLeft w:val="0"/>
      <w:marRight w:val="0"/>
      <w:marTop w:val="0"/>
      <w:marBottom w:val="0"/>
      <w:divBdr>
        <w:top w:val="none" w:sz="0" w:space="0" w:color="auto"/>
        <w:left w:val="none" w:sz="0" w:space="0" w:color="auto"/>
        <w:bottom w:val="none" w:sz="0" w:space="0" w:color="auto"/>
        <w:right w:val="none" w:sz="0" w:space="0" w:color="auto"/>
      </w:divBdr>
    </w:div>
    <w:div w:id="14915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publica.org/article/federal-judge-sees-new-york-state-conspiracy-to-thwart-care-mentally-il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newyorklawjourna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villagevoice.com/news/no-landlords-cant-throw-out-all-your-stuff-just-because-you-have-bedbugs-9826598" TargetMode="External"/><Relationship Id="rId5" Type="http://schemas.openxmlformats.org/officeDocument/2006/relationships/image" Target="media/image1.jpeg"/><Relationship Id="rId10" Type="http://schemas.openxmlformats.org/officeDocument/2006/relationships/hyperlink" Target="http://www.marketwatch.com/story/new-york-lawmaker-looks-to-crack-down-on-student-loan-companies-2017-04-28" TargetMode="External"/><Relationship Id="rId4" Type="http://schemas.openxmlformats.org/officeDocument/2006/relationships/webSettings" Target="webSettings.xml"/><Relationship Id="rId9" Type="http://schemas.openxmlformats.org/officeDocument/2006/relationships/hyperlink" Target="http://www.newyorklawjournal.com/home/id=1202783892070/FingerPointing-in-Agreement-on-Housing-for-the-Mentally-Ill?mcode=1202617075062&amp;curinde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532F-9404-439C-A34E-99C11D17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Dolores Schaefer</dc:creator>
  <cp:lastModifiedBy>Dolores Schaefer</cp:lastModifiedBy>
  <cp:revision>3</cp:revision>
  <dcterms:created xsi:type="dcterms:W3CDTF">2017-04-26T21:29:00Z</dcterms:created>
  <dcterms:modified xsi:type="dcterms:W3CDTF">2017-05-01T14:19:00Z</dcterms:modified>
</cp:coreProperties>
</file>