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6B6B" w:rsidRDefault="00966B6B">
      <w:pPr>
        <w:rPr>
          <w:rFonts w:ascii="Eras Demi ITC" w:hAnsi="Eras Demi ITC"/>
          <w:sz w:val="56"/>
          <w:szCs w:val="56"/>
        </w:rPr>
      </w:pPr>
      <w:r>
        <w:rPr>
          <w:noProof/>
        </w:rPr>
        <w:drawing>
          <wp:anchor distT="0" distB="0" distL="114300" distR="114300" simplePos="0" relativeHeight="251658240" behindDoc="0" locked="0" layoutInCell="1" allowOverlap="1" wp14:anchorId="7601C256" wp14:editId="3C89470B">
            <wp:simplePos x="0" y="0"/>
            <wp:positionH relativeFrom="margin">
              <wp:align>left</wp:align>
            </wp:positionH>
            <wp:positionV relativeFrom="paragraph">
              <wp:posOffset>74930</wp:posOffset>
            </wp:positionV>
            <wp:extent cx="2154803" cy="1606163"/>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witter logo smaller.jpg"/>
                    <pic:cNvPicPr/>
                  </pic:nvPicPr>
                  <pic:blipFill>
                    <a:blip r:embed="rId4">
                      <a:extLst>
                        <a:ext uri="{28A0092B-C50C-407E-A947-70E740481C1C}">
                          <a14:useLocalDpi xmlns:a14="http://schemas.microsoft.com/office/drawing/2010/main" val="0"/>
                        </a:ext>
                      </a:extLst>
                    </a:blip>
                    <a:stretch>
                      <a:fillRect/>
                    </a:stretch>
                  </pic:blipFill>
                  <pic:spPr>
                    <a:xfrm>
                      <a:off x="0" y="0"/>
                      <a:ext cx="2154803" cy="1606163"/>
                    </a:xfrm>
                    <a:prstGeom prst="rect">
                      <a:avLst/>
                    </a:prstGeom>
                  </pic:spPr>
                </pic:pic>
              </a:graphicData>
            </a:graphic>
            <wp14:sizeRelH relativeFrom="page">
              <wp14:pctWidth>0</wp14:pctWidth>
            </wp14:sizeRelH>
            <wp14:sizeRelV relativeFrom="page">
              <wp14:pctHeight>0</wp14:pctHeight>
            </wp14:sizeRelV>
          </wp:anchor>
        </w:drawing>
      </w:r>
    </w:p>
    <w:p w:rsidR="00966B6B" w:rsidRPr="00966B6B" w:rsidRDefault="00966B6B" w:rsidP="00966B6B">
      <w:pPr>
        <w:jc w:val="center"/>
        <w:rPr>
          <w:rFonts w:ascii="Eras Demi ITC" w:hAnsi="Eras Demi ITC"/>
          <w:color w:val="C00000"/>
          <w:sz w:val="14"/>
          <w:szCs w:val="72"/>
        </w:rPr>
      </w:pPr>
    </w:p>
    <w:p w:rsidR="00984209" w:rsidRPr="004738E1" w:rsidRDefault="00966B6B" w:rsidP="00966B6B">
      <w:pPr>
        <w:jc w:val="center"/>
        <w:rPr>
          <w:rFonts w:ascii="Eras Demi ITC" w:hAnsi="Eras Demi ITC"/>
          <w:color w:val="C00000"/>
          <w:sz w:val="72"/>
          <w:szCs w:val="72"/>
        </w:rPr>
      </w:pPr>
      <w:r w:rsidRPr="004738E1">
        <w:rPr>
          <w:rFonts w:ascii="Eras Demi ITC" w:hAnsi="Eras Demi ITC"/>
          <w:color w:val="C00000"/>
          <w:sz w:val="72"/>
          <w:szCs w:val="72"/>
        </w:rPr>
        <w:t>Update</w:t>
      </w:r>
    </w:p>
    <w:p w:rsidR="00966B6B" w:rsidRPr="00CD2F46" w:rsidRDefault="00431BF7" w:rsidP="00966B6B">
      <w:pPr>
        <w:jc w:val="center"/>
        <w:rPr>
          <w:rFonts w:ascii="Eras Demi ITC" w:hAnsi="Eras Demi ITC"/>
          <w:color w:val="C00000"/>
          <w:sz w:val="36"/>
          <w:szCs w:val="72"/>
        </w:rPr>
      </w:pPr>
      <w:r>
        <w:rPr>
          <w:rFonts w:ascii="Eras Demi ITC" w:hAnsi="Eras Demi ITC"/>
          <w:color w:val="C00000"/>
          <w:sz w:val="36"/>
          <w:szCs w:val="72"/>
        </w:rPr>
        <w:t>December 2014</w:t>
      </w:r>
    </w:p>
    <w:p w:rsidR="00966B6B" w:rsidRPr="00710AA8" w:rsidRDefault="00966B6B" w:rsidP="00966B6B">
      <w:pPr>
        <w:jc w:val="center"/>
        <w:rPr>
          <w:rFonts w:ascii="Eras Demi ITC" w:hAnsi="Eras Demi ITC"/>
          <w:color w:val="C00000"/>
          <w:szCs w:val="72"/>
        </w:rPr>
      </w:pPr>
    </w:p>
    <w:p w:rsidR="00966B6B" w:rsidRDefault="00966B6B" w:rsidP="00966B6B">
      <w:pPr>
        <w:jc w:val="center"/>
        <w:rPr>
          <w:rFonts w:ascii="Eras Demi ITC" w:hAnsi="Eras Demi ITC"/>
          <w:color w:val="C00000"/>
          <w:sz w:val="44"/>
          <w:szCs w:val="72"/>
        </w:rPr>
      </w:pPr>
    </w:p>
    <w:p w:rsidR="00966B6B" w:rsidRDefault="00966B6B" w:rsidP="00966B6B">
      <w:pPr>
        <w:rPr>
          <w:rFonts w:ascii="Eras Demi ITC" w:hAnsi="Eras Demi ITC"/>
          <w:color w:val="C00000"/>
          <w:sz w:val="32"/>
          <w:szCs w:val="72"/>
        </w:rPr>
      </w:pPr>
      <w:r>
        <w:rPr>
          <w:rFonts w:ascii="Eras Demi ITC" w:hAnsi="Eras Demi ITC"/>
          <w:color w:val="C00000"/>
          <w:sz w:val="32"/>
          <w:szCs w:val="72"/>
        </w:rPr>
        <w:t>Recent Successes . . .</w:t>
      </w:r>
    </w:p>
    <w:p w:rsidR="00F763F3" w:rsidRDefault="00F763F3" w:rsidP="00966B6B">
      <w:pPr>
        <w:rPr>
          <w:rFonts w:ascii="Arial" w:hAnsi="Arial" w:cs="Arial"/>
          <w:color w:val="000000" w:themeColor="text1"/>
          <w:sz w:val="20"/>
          <w:szCs w:val="20"/>
        </w:rPr>
      </w:pPr>
    </w:p>
    <w:p w:rsidR="00431BF7" w:rsidRDefault="00431BF7" w:rsidP="00966B6B">
      <w:pPr>
        <w:rPr>
          <w:rFonts w:ascii="Arial" w:hAnsi="Arial" w:cs="Arial"/>
          <w:color w:val="000000" w:themeColor="text1"/>
          <w:sz w:val="20"/>
          <w:szCs w:val="20"/>
        </w:rPr>
      </w:pPr>
      <w:r>
        <w:rPr>
          <w:rFonts w:ascii="Arial" w:hAnsi="Arial" w:cs="Arial"/>
          <w:color w:val="000000" w:themeColor="text1"/>
          <w:sz w:val="20"/>
          <w:szCs w:val="20"/>
        </w:rPr>
        <w:t xml:space="preserve">MFY attorney Chantal Hernandez scored a </w:t>
      </w:r>
      <w:r w:rsidRPr="00431BF7">
        <w:rPr>
          <w:rFonts w:ascii="Arial" w:hAnsi="Arial" w:cs="Arial"/>
          <w:b/>
          <w:color w:val="C00000"/>
          <w:sz w:val="20"/>
          <w:szCs w:val="20"/>
        </w:rPr>
        <w:t>huge victory for homeowners facing foreclosure</w:t>
      </w:r>
      <w:r>
        <w:rPr>
          <w:rFonts w:ascii="Arial" w:hAnsi="Arial" w:cs="Arial"/>
          <w:color w:val="000000" w:themeColor="text1"/>
          <w:sz w:val="20"/>
          <w:szCs w:val="20"/>
        </w:rPr>
        <w:t xml:space="preserve">.  Although the statute governing foreclosure </w:t>
      </w:r>
      <w:r w:rsidR="00E733C1">
        <w:rPr>
          <w:rFonts w:ascii="Arial" w:hAnsi="Arial" w:cs="Arial"/>
          <w:color w:val="000000" w:themeColor="text1"/>
          <w:sz w:val="20"/>
          <w:szCs w:val="20"/>
        </w:rPr>
        <w:t>provides</w:t>
      </w:r>
      <w:r>
        <w:rPr>
          <w:rFonts w:ascii="Arial" w:hAnsi="Arial" w:cs="Arial"/>
          <w:color w:val="000000" w:themeColor="text1"/>
          <w:sz w:val="20"/>
          <w:szCs w:val="20"/>
        </w:rPr>
        <w:t xml:space="preserve"> that a bank must negotiate in good faith, the Second Department (which </w:t>
      </w:r>
      <w:r w:rsidR="00E733C1">
        <w:rPr>
          <w:rFonts w:ascii="Arial" w:hAnsi="Arial" w:cs="Arial"/>
          <w:color w:val="000000" w:themeColor="text1"/>
          <w:sz w:val="20"/>
          <w:szCs w:val="20"/>
        </w:rPr>
        <w:t>covers</w:t>
      </w:r>
      <w:r>
        <w:rPr>
          <w:rFonts w:ascii="Arial" w:hAnsi="Arial" w:cs="Arial"/>
          <w:color w:val="000000" w:themeColor="text1"/>
          <w:sz w:val="20"/>
          <w:szCs w:val="20"/>
        </w:rPr>
        <w:t xml:space="preserve"> the counties with most of New York State’s foreclosures) had not </w:t>
      </w:r>
      <w:r w:rsidR="00E733C1">
        <w:rPr>
          <w:rFonts w:ascii="Arial" w:hAnsi="Arial" w:cs="Arial"/>
          <w:color w:val="000000" w:themeColor="text1"/>
          <w:sz w:val="20"/>
          <w:szCs w:val="20"/>
        </w:rPr>
        <w:t>interpreted</w:t>
      </w:r>
      <w:r>
        <w:rPr>
          <w:rFonts w:ascii="Arial" w:hAnsi="Arial" w:cs="Arial"/>
          <w:color w:val="000000" w:themeColor="text1"/>
          <w:sz w:val="20"/>
          <w:szCs w:val="20"/>
        </w:rPr>
        <w:t xml:space="preserve"> what that means and what remedy the court can impose if banks fail to negotiate in good faith. The Appellate Division’s decision in MFY’s case holds that failure to follow federal government regulations is a failure to negotiate in good faith. That one sentence will alter the foreclosure landscape for years to come!</w:t>
      </w:r>
    </w:p>
    <w:p w:rsidR="00431BF7" w:rsidRDefault="00431BF7" w:rsidP="00966B6B">
      <w:pPr>
        <w:rPr>
          <w:rFonts w:ascii="Arial" w:hAnsi="Arial" w:cs="Arial"/>
          <w:color w:val="000000" w:themeColor="text1"/>
          <w:sz w:val="20"/>
          <w:szCs w:val="20"/>
        </w:rPr>
      </w:pPr>
    </w:p>
    <w:p w:rsidR="00431BF7" w:rsidRPr="000D585D" w:rsidRDefault="00431BF7" w:rsidP="00966B6B">
      <w:pPr>
        <w:rPr>
          <w:rFonts w:ascii="Arial" w:hAnsi="Arial" w:cs="Arial"/>
          <w:color w:val="000000" w:themeColor="text1"/>
          <w:sz w:val="20"/>
          <w:szCs w:val="20"/>
        </w:rPr>
      </w:pPr>
    </w:p>
    <w:p w:rsidR="001C09AE" w:rsidRPr="008D4D12" w:rsidRDefault="004960D8" w:rsidP="00966B6B">
      <w:pPr>
        <w:rPr>
          <w:rFonts w:ascii="Arial" w:hAnsi="Arial" w:cs="Arial"/>
          <w:color w:val="000000" w:themeColor="text1"/>
          <w:sz w:val="10"/>
          <w:szCs w:val="22"/>
        </w:rPr>
      </w:pPr>
      <w:r>
        <w:rPr>
          <w:rFonts w:ascii="Arial" w:hAnsi="Arial" w:cs="Arial"/>
          <w:noProof/>
          <w:color w:val="000000" w:themeColor="text1"/>
          <w:sz w:val="20"/>
          <w:szCs w:val="22"/>
        </w:rPr>
        <w:drawing>
          <wp:anchor distT="0" distB="0" distL="114300" distR="114300" simplePos="0" relativeHeight="251659264" behindDoc="0" locked="0" layoutInCell="1" allowOverlap="1" wp14:anchorId="3657F8A7" wp14:editId="67EAFE0D">
            <wp:simplePos x="0" y="0"/>
            <wp:positionH relativeFrom="margin">
              <wp:align>left</wp:align>
            </wp:positionH>
            <wp:positionV relativeFrom="paragraph">
              <wp:posOffset>71120</wp:posOffset>
            </wp:positionV>
            <wp:extent cx="2286000" cy="16287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rolda.jpg"/>
                    <pic:cNvPicPr/>
                  </pic:nvPicPr>
                  <pic:blipFill>
                    <a:blip r:embed="rId5">
                      <a:extLst>
                        <a:ext uri="{28A0092B-C50C-407E-A947-70E740481C1C}">
                          <a14:useLocalDpi xmlns:a14="http://schemas.microsoft.com/office/drawing/2010/main" val="0"/>
                        </a:ext>
                      </a:extLst>
                    </a:blip>
                    <a:stretch>
                      <a:fillRect/>
                    </a:stretch>
                  </pic:blipFill>
                  <pic:spPr>
                    <a:xfrm>
                      <a:off x="0" y="0"/>
                      <a:ext cx="2286000" cy="1628775"/>
                    </a:xfrm>
                    <a:prstGeom prst="rect">
                      <a:avLst/>
                    </a:prstGeom>
                  </pic:spPr>
                </pic:pic>
              </a:graphicData>
            </a:graphic>
            <wp14:sizeRelH relativeFrom="page">
              <wp14:pctWidth>0</wp14:pctWidth>
            </wp14:sizeRelH>
            <wp14:sizeRelV relativeFrom="page">
              <wp14:pctHeight>0</wp14:pctHeight>
            </wp14:sizeRelV>
          </wp:anchor>
        </w:drawing>
      </w:r>
    </w:p>
    <w:p w:rsidR="001C09AE" w:rsidRDefault="008255CC" w:rsidP="00966B6B">
      <w:pPr>
        <w:rPr>
          <w:rFonts w:ascii="Arial" w:hAnsi="Arial" w:cs="Arial"/>
          <w:color w:val="000000" w:themeColor="text1"/>
          <w:sz w:val="20"/>
          <w:szCs w:val="22"/>
        </w:rPr>
      </w:pPr>
      <w:r>
        <w:rPr>
          <w:rFonts w:ascii="Arial" w:hAnsi="Arial" w:cs="Arial"/>
          <w:color w:val="000000" w:themeColor="text1"/>
          <w:sz w:val="20"/>
          <w:szCs w:val="22"/>
        </w:rPr>
        <w:t xml:space="preserve">With MFY’s help, tenants in Chinatown have been challenging meritless eviction cases brought by </w:t>
      </w:r>
      <w:r w:rsidR="00E733C1">
        <w:rPr>
          <w:rFonts w:ascii="Arial" w:hAnsi="Arial" w:cs="Arial"/>
          <w:color w:val="000000" w:themeColor="text1"/>
          <w:sz w:val="20"/>
          <w:szCs w:val="22"/>
        </w:rPr>
        <w:t>a large landlord</w:t>
      </w:r>
      <w:r>
        <w:rPr>
          <w:rFonts w:ascii="Arial" w:hAnsi="Arial" w:cs="Arial"/>
          <w:color w:val="000000" w:themeColor="text1"/>
          <w:sz w:val="20"/>
          <w:szCs w:val="22"/>
        </w:rPr>
        <w:t xml:space="preserve"> against elderly tenants in its buildings. After successfully winning dis</w:t>
      </w:r>
      <w:r>
        <w:rPr>
          <w:rFonts w:ascii="Arial" w:hAnsi="Arial" w:cs="Arial"/>
          <w:color w:val="000000" w:themeColor="text1"/>
          <w:sz w:val="20"/>
          <w:szCs w:val="22"/>
        </w:rPr>
        <w:softHyphen/>
        <w:t xml:space="preserve">missal of an eviction proceeding against two elderly residents (one of many brought over the years against a family that always paid its rent on time), MFY consumer attorney Evan Denerstein </w:t>
      </w:r>
      <w:r w:rsidRPr="008255CC">
        <w:rPr>
          <w:rFonts w:ascii="Arial" w:hAnsi="Arial" w:cs="Arial"/>
          <w:b/>
          <w:color w:val="C00000"/>
          <w:sz w:val="20"/>
          <w:szCs w:val="22"/>
        </w:rPr>
        <w:t>brought a complaint in the SDNY against the landlord’s attorney alleging violations of the Fair Debt Collection Practices Act</w:t>
      </w:r>
      <w:r>
        <w:rPr>
          <w:rFonts w:ascii="Arial" w:hAnsi="Arial" w:cs="Arial"/>
          <w:color w:val="000000" w:themeColor="text1"/>
          <w:sz w:val="20"/>
          <w:szCs w:val="22"/>
        </w:rPr>
        <w:t xml:space="preserve">, which prohibits attempts to collect debts that are not owed. The case </w:t>
      </w:r>
      <w:r w:rsidR="00E733C1">
        <w:rPr>
          <w:rFonts w:ascii="Arial" w:hAnsi="Arial" w:cs="Arial"/>
          <w:color w:val="000000" w:themeColor="text1"/>
          <w:sz w:val="20"/>
          <w:szCs w:val="22"/>
        </w:rPr>
        <w:t>settled</w:t>
      </w:r>
      <w:r w:rsidR="004960D8" w:rsidRPr="004960D8">
        <w:rPr>
          <w:rFonts w:ascii="Arial" w:hAnsi="Arial" w:cs="Arial"/>
          <w:sz w:val="20"/>
          <w:szCs w:val="20"/>
        </w:rPr>
        <w:t xml:space="preserve"> on mutually agreeable terms</w:t>
      </w:r>
      <w:r w:rsidR="00E733C1">
        <w:rPr>
          <w:rFonts w:ascii="Arial" w:hAnsi="Arial" w:cs="Arial"/>
          <w:color w:val="000000" w:themeColor="text1"/>
          <w:sz w:val="20"/>
          <w:szCs w:val="22"/>
        </w:rPr>
        <w:t>.</w:t>
      </w:r>
    </w:p>
    <w:p w:rsidR="008255CC" w:rsidRDefault="008255CC" w:rsidP="00966B6B">
      <w:pPr>
        <w:rPr>
          <w:rFonts w:ascii="Arial" w:hAnsi="Arial" w:cs="Arial"/>
          <w:color w:val="000000" w:themeColor="text1"/>
          <w:sz w:val="20"/>
          <w:szCs w:val="22"/>
        </w:rPr>
      </w:pPr>
    </w:p>
    <w:p w:rsidR="008255CC" w:rsidRDefault="008255CC" w:rsidP="00966B6B">
      <w:pPr>
        <w:rPr>
          <w:rFonts w:ascii="Arial" w:hAnsi="Arial" w:cs="Arial"/>
          <w:color w:val="000000" w:themeColor="text1"/>
          <w:sz w:val="20"/>
          <w:szCs w:val="22"/>
        </w:rPr>
      </w:pPr>
      <w:r>
        <w:rPr>
          <w:rFonts w:ascii="Arial" w:hAnsi="Arial" w:cs="Arial"/>
          <w:color w:val="000000" w:themeColor="text1"/>
          <w:sz w:val="20"/>
          <w:szCs w:val="22"/>
        </w:rPr>
        <w:tab/>
      </w:r>
      <w:r>
        <w:rPr>
          <w:rFonts w:ascii="Arial" w:hAnsi="Arial" w:cs="Arial"/>
          <w:color w:val="000000" w:themeColor="text1"/>
          <w:sz w:val="20"/>
          <w:szCs w:val="22"/>
        </w:rPr>
        <w:tab/>
      </w:r>
      <w:r>
        <w:rPr>
          <w:rFonts w:ascii="Arial" w:hAnsi="Arial" w:cs="Arial"/>
          <w:color w:val="000000" w:themeColor="text1"/>
          <w:sz w:val="20"/>
          <w:szCs w:val="22"/>
        </w:rPr>
        <w:tab/>
      </w:r>
    </w:p>
    <w:p w:rsidR="008255CC" w:rsidRDefault="009E6C01" w:rsidP="008255CC">
      <w:pPr>
        <w:rPr>
          <w:rFonts w:ascii="Eras Demi ITC" w:hAnsi="Eras Demi ITC"/>
          <w:color w:val="C00000"/>
          <w:sz w:val="32"/>
          <w:szCs w:val="72"/>
        </w:rPr>
      </w:pPr>
      <w:r>
        <w:rPr>
          <w:rFonts w:ascii="Eras Demi ITC" w:hAnsi="Eras Demi ITC"/>
          <w:noProof/>
          <w:color w:val="C00000"/>
          <w:sz w:val="32"/>
          <w:szCs w:val="72"/>
        </w:rPr>
        <w:drawing>
          <wp:anchor distT="0" distB="0" distL="114300" distR="114300" simplePos="0" relativeHeight="251660288" behindDoc="0" locked="0" layoutInCell="1" allowOverlap="1" wp14:anchorId="23EC91BB" wp14:editId="459F71B9">
            <wp:simplePos x="0" y="0"/>
            <wp:positionH relativeFrom="column">
              <wp:posOffset>4114800</wp:posOffset>
            </wp:positionH>
            <wp:positionV relativeFrom="paragraph">
              <wp:posOffset>190500</wp:posOffset>
            </wp:positionV>
            <wp:extent cx="1685925" cy="1056005"/>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merican in paris imag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85925" cy="1056005"/>
                    </a:xfrm>
                    <a:prstGeom prst="rect">
                      <a:avLst/>
                    </a:prstGeom>
                  </pic:spPr>
                </pic:pic>
              </a:graphicData>
            </a:graphic>
            <wp14:sizeRelH relativeFrom="page">
              <wp14:pctWidth>0</wp14:pctWidth>
            </wp14:sizeRelH>
            <wp14:sizeRelV relativeFrom="page">
              <wp14:pctHeight>0</wp14:pctHeight>
            </wp14:sizeRelV>
          </wp:anchor>
        </w:drawing>
      </w:r>
      <w:r w:rsidR="008255CC">
        <w:rPr>
          <w:rFonts w:ascii="Eras Demi ITC" w:hAnsi="Eras Demi ITC"/>
          <w:color w:val="C00000"/>
          <w:sz w:val="32"/>
          <w:szCs w:val="72"/>
        </w:rPr>
        <w:t>Save the Date . . .</w:t>
      </w:r>
    </w:p>
    <w:p w:rsidR="009E6C01" w:rsidRPr="009E6C01" w:rsidRDefault="009E6C01" w:rsidP="008255CC">
      <w:pPr>
        <w:rPr>
          <w:rFonts w:ascii="Eras Demi ITC" w:hAnsi="Eras Demi ITC"/>
          <w:color w:val="C00000"/>
          <w:sz w:val="16"/>
          <w:szCs w:val="72"/>
        </w:rPr>
      </w:pPr>
    </w:p>
    <w:p w:rsidR="009E6C01" w:rsidRDefault="009E6C01" w:rsidP="008255CC">
      <w:pPr>
        <w:rPr>
          <w:rFonts w:ascii="Arial" w:hAnsi="Arial" w:cs="Arial"/>
          <w:color w:val="000000" w:themeColor="text1"/>
          <w:sz w:val="20"/>
          <w:szCs w:val="72"/>
        </w:rPr>
      </w:pPr>
      <w:r>
        <w:rPr>
          <w:rFonts w:ascii="Arial" w:hAnsi="Arial" w:cs="Arial"/>
          <w:color w:val="000000" w:themeColor="text1"/>
          <w:sz w:val="20"/>
          <w:szCs w:val="72"/>
        </w:rPr>
        <w:t xml:space="preserve">MFY’s annual </w:t>
      </w:r>
      <w:r w:rsidRPr="00AA7C4A">
        <w:rPr>
          <w:rFonts w:ascii="Arial" w:hAnsi="Arial" w:cs="Arial"/>
          <w:b/>
          <w:color w:val="C00000"/>
          <w:sz w:val="20"/>
          <w:szCs w:val="72"/>
        </w:rPr>
        <w:t>Dinner-Theatre Benefit</w:t>
      </w:r>
      <w:r w:rsidRPr="00AA7C4A">
        <w:rPr>
          <w:rFonts w:ascii="Arial" w:hAnsi="Arial" w:cs="Arial"/>
          <w:color w:val="C00000"/>
          <w:sz w:val="20"/>
          <w:szCs w:val="72"/>
        </w:rPr>
        <w:t xml:space="preserve"> </w:t>
      </w:r>
      <w:r>
        <w:rPr>
          <w:rFonts w:ascii="Arial" w:hAnsi="Arial" w:cs="Arial"/>
          <w:color w:val="000000" w:themeColor="text1"/>
          <w:sz w:val="20"/>
          <w:szCs w:val="72"/>
        </w:rPr>
        <w:t>will be held on Wednesday,</w:t>
      </w:r>
    </w:p>
    <w:p w:rsidR="008255CC" w:rsidRDefault="009E6C01" w:rsidP="008255CC">
      <w:pPr>
        <w:rPr>
          <w:rFonts w:ascii="Eras Demi ITC" w:hAnsi="Eras Demi ITC"/>
          <w:color w:val="C00000"/>
          <w:sz w:val="32"/>
          <w:szCs w:val="72"/>
        </w:rPr>
      </w:pPr>
      <w:r>
        <w:rPr>
          <w:rFonts w:ascii="Arial" w:hAnsi="Arial" w:cs="Arial"/>
          <w:color w:val="000000" w:themeColor="text1"/>
          <w:sz w:val="20"/>
          <w:szCs w:val="72"/>
        </w:rPr>
        <w:t xml:space="preserve">June 10, 2015, with a cocktail reception and dinner at The Edison Ballroom, followed by a performance of </w:t>
      </w:r>
      <w:r w:rsidRPr="00AA7C4A">
        <w:rPr>
          <w:rFonts w:ascii="Arial" w:hAnsi="Arial" w:cs="Arial"/>
          <w:b/>
          <w:color w:val="C00000"/>
          <w:sz w:val="20"/>
          <w:szCs w:val="72"/>
        </w:rPr>
        <w:t>An American in Paris</w:t>
      </w:r>
      <w:r w:rsidRPr="00AA7C4A">
        <w:rPr>
          <w:rFonts w:ascii="Arial" w:hAnsi="Arial" w:cs="Arial"/>
          <w:color w:val="C00000"/>
          <w:sz w:val="20"/>
          <w:szCs w:val="72"/>
        </w:rPr>
        <w:t xml:space="preserve"> </w:t>
      </w:r>
      <w:r>
        <w:rPr>
          <w:rFonts w:ascii="Arial" w:hAnsi="Arial" w:cs="Arial"/>
          <w:color w:val="000000" w:themeColor="text1"/>
          <w:sz w:val="20"/>
          <w:szCs w:val="72"/>
        </w:rPr>
        <w:t>at the Palace Theatre.  The show premiered in Paris in December to rave reviews and will open</w:t>
      </w:r>
      <w:r>
        <w:rPr>
          <w:rFonts w:ascii="Eras Demi ITC" w:hAnsi="Eras Demi ITC"/>
          <w:color w:val="C00000"/>
          <w:sz w:val="32"/>
          <w:szCs w:val="72"/>
        </w:rPr>
        <w:t xml:space="preserve"> </w:t>
      </w:r>
      <w:r>
        <w:rPr>
          <w:rFonts w:ascii="Arial" w:hAnsi="Arial" w:cs="Arial"/>
          <w:color w:val="000000" w:themeColor="text1"/>
          <w:sz w:val="20"/>
          <w:szCs w:val="20"/>
        </w:rPr>
        <w:t>in New York in March.  With music by George Gershwin and spectacular choreography, it will be an evening to remember!</w:t>
      </w:r>
      <w:r w:rsidR="008255CC">
        <w:rPr>
          <w:rFonts w:ascii="Eras Demi ITC" w:hAnsi="Eras Demi ITC"/>
          <w:color w:val="C00000"/>
          <w:sz w:val="32"/>
          <w:szCs w:val="72"/>
        </w:rPr>
        <w:tab/>
      </w:r>
      <w:r w:rsidR="008255CC">
        <w:rPr>
          <w:rFonts w:ascii="Eras Demi ITC" w:hAnsi="Eras Demi ITC"/>
          <w:color w:val="C00000"/>
          <w:sz w:val="32"/>
          <w:szCs w:val="72"/>
        </w:rPr>
        <w:tab/>
      </w:r>
      <w:r w:rsidR="008255CC">
        <w:rPr>
          <w:rFonts w:ascii="Eras Demi ITC" w:hAnsi="Eras Demi ITC"/>
          <w:color w:val="C00000"/>
          <w:sz w:val="32"/>
          <w:szCs w:val="72"/>
        </w:rPr>
        <w:tab/>
      </w:r>
      <w:r w:rsidR="008255CC">
        <w:rPr>
          <w:rFonts w:ascii="Eras Demi ITC" w:hAnsi="Eras Demi ITC"/>
          <w:color w:val="C00000"/>
          <w:sz w:val="32"/>
          <w:szCs w:val="72"/>
        </w:rPr>
        <w:tab/>
      </w:r>
      <w:r w:rsidR="008255CC">
        <w:rPr>
          <w:rFonts w:ascii="Eras Demi ITC" w:hAnsi="Eras Demi ITC"/>
          <w:color w:val="C00000"/>
          <w:sz w:val="32"/>
          <w:szCs w:val="72"/>
        </w:rPr>
        <w:tab/>
      </w:r>
      <w:r w:rsidR="008255CC">
        <w:rPr>
          <w:rFonts w:ascii="Eras Demi ITC" w:hAnsi="Eras Demi ITC"/>
          <w:color w:val="C00000"/>
          <w:sz w:val="32"/>
          <w:szCs w:val="72"/>
        </w:rPr>
        <w:tab/>
      </w:r>
    </w:p>
    <w:p w:rsidR="008255CC" w:rsidRDefault="008255CC" w:rsidP="00966B6B">
      <w:pPr>
        <w:rPr>
          <w:rFonts w:ascii="Arial" w:hAnsi="Arial" w:cs="Arial"/>
          <w:color w:val="000000" w:themeColor="text1"/>
          <w:sz w:val="20"/>
          <w:szCs w:val="22"/>
        </w:rPr>
      </w:pPr>
    </w:p>
    <w:p w:rsidR="009E6C01" w:rsidRDefault="009E6C01" w:rsidP="00966B6B">
      <w:pPr>
        <w:rPr>
          <w:rFonts w:ascii="Arial" w:hAnsi="Arial" w:cs="Arial"/>
          <w:color w:val="000000" w:themeColor="text1"/>
          <w:sz w:val="20"/>
          <w:szCs w:val="22"/>
        </w:rPr>
      </w:pPr>
    </w:p>
    <w:p w:rsidR="009E6C01" w:rsidRDefault="009E6C01" w:rsidP="00966B6B">
      <w:pPr>
        <w:rPr>
          <w:rFonts w:ascii="Eras Demi ITC" w:hAnsi="Eras Demi ITC"/>
          <w:color w:val="C00000"/>
          <w:sz w:val="32"/>
          <w:szCs w:val="72"/>
        </w:rPr>
      </w:pPr>
      <w:r>
        <w:rPr>
          <w:rFonts w:ascii="Eras Demi ITC" w:hAnsi="Eras Demi ITC"/>
          <w:color w:val="C00000"/>
          <w:sz w:val="32"/>
          <w:szCs w:val="72"/>
        </w:rPr>
        <w:t>MFY in the News . . .</w:t>
      </w:r>
    </w:p>
    <w:p w:rsidR="009E6C01" w:rsidRDefault="009E6C01" w:rsidP="00966B6B">
      <w:pPr>
        <w:rPr>
          <w:rFonts w:ascii="Eras Demi ITC" w:hAnsi="Eras Demi ITC"/>
          <w:color w:val="C00000"/>
          <w:sz w:val="32"/>
          <w:szCs w:val="72"/>
        </w:rPr>
      </w:pPr>
    </w:p>
    <w:p w:rsidR="00215614" w:rsidRDefault="00215614" w:rsidP="00215614">
      <w:r>
        <w:rPr>
          <w:rFonts w:ascii="Arial" w:hAnsi="Arial" w:cs="Arial"/>
          <w:color w:val="000000" w:themeColor="text1"/>
          <w:sz w:val="20"/>
          <w:szCs w:val="20"/>
        </w:rPr>
        <w:t xml:space="preserve">MFY has played a key leadership role in statewide </w:t>
      </w:r>
      <w:r w:rsidRPr="00AA7C4A">
        <w:rPr>
          <w:rFonts w:ascii="Arial" w:hAnsi="Arial" w:cs="Arial"/>
          <w:b/>
          <w:color w:val="C00000"/>
          <w:sz w:val="20"/>
          <w:szCs w:val="20"/>
        </w:rPr>
        <w:t>advocacy efforts to rein in abusive debt collection practices</w:t>
      </w:r>
      <w:r>
        <w:rPr>
          <w:rFonts w:ascii="Arial" w:hAnsi="Arial" w:cs="Arial"/>
          <w:color w:val="000000" w:themeColor="text1"/>
          <w:sz w:val="20"/>
          <w:szCs w:val="20"/>
        </w:rPr>
        <w:t xml:space="preserve">. New rules announced in early December require debt collectors to produce a court judgment or actual loan document along with an accounting of all interest and fees included in the debt. MFY </w:t>
      </w:r>
      <w:r w:rsidR="00AA7C4A">
        <w:rPr>
          <w:rFonts w:ascii="Arial" w:hAnsi="Arial" w:cs="Arial"/>
          <w:color w:val="000000" w:themeColor="text1"/>
          <w:sz w:val="20"/>
          <w:szCs w:val="20"/>
        </w:rPr>
        <w:t xml:space="preserve">supervising </w:t>
      </w:r>
      <w:r>
        <w:rPr>
          <w:rFonts w:ascii="Arial" w:hAnsi="Arial" w:cs="Arial"/>
          <w:color w:val="000000" w:themeColor="text1"/>
          <w:sz w:val="20"/>
          <w:szCs w:val="20"/>
        </w:rPr>
        <w:t xml:space="preserve">attorney Carolyn Coffey is quoted in this </w:t>
      </w:r>
      <w:hyperlink r:id="rId7" w:history="1">
        <w:r w:rsidRPr="008C79C5">
          <w:rPr>
            <w:rStyle w:val="Hyperlink"/>
            <w:rFonts w:ascii="Arial" w:hAnsi="Arial" w:cs="Arial"/>
            <w:sz w:val="20"/>
            <w:szCs w:val="20"/>
          </w:rPr>
          <w:t>Daily News article</w:t>
        </w:r>
      </w:hyperlink>
      <w:r w:rsidR="008C79C5">
        <w:rPr>
          <w:rFonts w:ascii="Arial" w:hAnsi="Arial" w:cs="Arial"/>
          <w:color w:val="000000" w:themeColor="text1"/>
          <w:sz w:val="20"/>
          <w:szCs w:val="20"/>
        </w:rPr>
        <w:t>.</w:t>
      </w:r>
      <w:r>
        <w:rPr>
          <w:rFonts w:ascii="Arial" w:hAnsi="Arial" w:cs="Arial"/>
          <w:color w:val="000000" w:themeColor="text1"/>
          <w:sz w:val="20"/>
          <w:szCs w:val="20"/>
        </w:rPr>
        <w:t xml:space="preserve"> </w:t>
      </w:r>
      <w:bookmarkStart w:id="0" w:name="_GoBack"/>
      <w:bookmarkEnd w:id="0"/>
    </w:p>
    <w:p w:rsidR="009E6C01" w:rsidRPr="00215614" w:rsidRDefault="009E6C01" w:rsidP="00966B6B">
      <w:pPr>
        <w:rPr>
          <w:rFonts w:ascii="Arial" w:hAnsi="Arial" w:cs="Arial"/>
          <w:color w:val="000000" w:themeColor="text1"/>
          <w:sz w:val="20"/>
          <w:szCs w:val="20"/>
        </w:rPr>
      </w:pPr>
    </w:p>
    <w:sectPr w:rsidR="009E6C01" w:rsidRPr="00215614" w:rsidSect="008D4D12">
      <w:pgSz w:w="12240" w:h="15840"/>
      <w:pgMar w:top="864"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Eras Demi ITC">
    <w:panose1 w:val="020B08050305040208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B6B"/>
    <w:rsid w:val="00057E94"/>
    <w:rsid w:val="00081D25"/>
    <w:rsid w:val="000D585D"/>
    <w:rsid w:val="001314E9"/>
    <w:rsid w:val="001C09AE"/>
    <w:rsid w:val="00215614"/>
    <w:rsid w:val="00370907"/>
    <w:rsid w:val="003946A8"/>
    <w:rsid w:val="00431BF7"/>
    <w:rsid w:val="004738E1"/>
    <w:rsid w:val="004869B5"/>
    <w:rsid w:val="004960D8"/>
    <w:rsid w:val="005109C9"/>
    <w:rsid w:val="00710AA8"/>
    <w:rsid w:val="007F49B1"/>
    <w:rsid w:val="008255CC"/>
    <w:rsid w:val="008C79C5"/>
    <w:rsid w:val="008D4D12"/>
    <w:rsid w:val="00966B6B"/>
    <w:rsid w:val="00984209"/>
    <w:rsid w:val="009A738C"/>
    <w:rsid w:val="009E6C01"/>
    <w:rsid w:val="00AA7C4A"/>
    <w:rsid w:val="00CD2F46"/>
    <w:rsid w:val="00E40273"/>
    <w:rsid w:val="00E733C1"/>
    <w:rsid w:val="00F76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F67653-6DD8-41E8-B4E7-BF07AFE6C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heme="minorHAnsi" w:hAnsi="Garamond"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4D12"/>
    <w:rPr>
      <w:color w:val="0563C1" w:themeColor="hyperlink"/>
      <w:u w:val="single"/>
    </w:rPr>
  </w:style>
  <w:style w:type="character" w:styleId="FollowedHyperlink">
    <w:name w:val="FollowedHyperlink"/>
    <w:basedOn w:val="DefaultParagraphFont"/>
    <w:uiPriority w:val="99"/>
    <w:semiHidden/>
    <w:unhideWhenUsed/>
    <w:rsid w:val="008D4D12"/>
    <w:rPr>
      <w:color w:val="954F72" w:themeColor="followedHyperlink"/>
      <w:u w:val="single"/>
    </w:rPr>
  </w:style>
  <w:style w:type="paragraph" w:styleId="BalloonText">
    <w:name w:val="Balloon Text"/>
    <w:basedOn w:val="Normal"/>
    <w:link w:val="BalloonTextChar"/>
    <w:uiPriority w:val="99"/>
    <w:semiHidden/>
    <w:unhideWhenUsed/>
    <w:rsid w:val="00057E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7E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nydailynews.com/new-york/state-unveil-new-regulations-debt-collectors-article-1.203128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333</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Dolores Schaefer</dc:creator>
  <cp:keywords/>
  <dc:description/>
  <cp:lastModifiedBy>Dolores Schaefer</cp:lastModifiedBy>
  <cp:revision>3</cp:revision>
  <dcterms:created xsi:type="dcterms:W3CDTF">2014-12-24T16:34:00Z</dcterms:created>
  <dcterms:modified xsi:type="dcterms:W3CDTF">2016-08-30T16:29:00Z</dcterms:modified>
</cp:coreProperties>
</file>