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47AF" w14:textId="77777777" w:rsidR="00966B6B" w:rsidRDefault="00966B6B">
      <w:pPr>
        <w:rPr>
          <w:rFonts w:ascii="Eras Demi ITC" w:hAnsi="Eras Demi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3D8594" wp14:editId="423A51DC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154803" cy="160616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tter logo smal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803" cy="160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AE9CE" w14:textId="77777777" w:rsidR="00966B6B" w:rsidRPr="00966B6B" w:rsidRDefault="00966B6B" w:rsidP="00966B6B">
      <w:pPr>
        <w:jc w:val="center"/>
        <w:rPr>
          <w:rFonts w:ascii="Eras Demi ITC" w:hAnsi="Eras Demi ITC"/>
          <w:color w:val="C00000"/>
          <w:sz w:val="14"/>
          <w:szCs w:val="72"/>
        </w:rPr>
      </w:pPr>
    </w:p>
    <w:p w14:paraId="0A784687" w14:textId="77777777" w:rsidR="00984209" w:rsidRPr="004738E1" w:rsidRDefault="00966B6B" w:rsidP="00966B6B">
      <w:pPr>
        <w:jc w:val="center"/>
        <w:rPr>
          <w:rFonts w:ascii="Eras Demi ITC" w:hAnsi="Eras Demi ITC"/>
          <w:color w:val="C00000"/>
          <w:sz w:val="72"/>
          <w:szCs w:val="72"/>
        </w:rPr>
      </w:pPr>
      <w:r w:rsidRPr="004738E1">
        <w:rPr>
          <w:rFonts w:ascii="Eras Demi ITC" w:hAnsi="Eras Demi ITC"/>
          <w:color w:val="C00000"/>
          <w:sz w:val="72"/>
          <w:szCs w:val="72"/>
        </w:rPr>
        <w:t>Update</w:t>
      </w:r>
    </w:p>
    <w:p w14:paraId="43364F7B" w14:textId="41F57410" w:rsidR="00966B6B" w:rsidRPr="00DF5811" w:rsidRDefault="00282464" w:rsidP="00966B6B">
      <w:pPr>
        <w:jc w:val="center"/>
        <w:rPr>
          <w:rFonts w:ascii="Eras Light ITC" w:hAnsi="Eras Light ITC"/>
          <w:color w:val="C00000"/>
          <w:sz w:val="36"/>
          <w:szCs w:val="72"/>
        </w:rPr>
      </w:pPr>
      <w:r>
        <w:rPr>
          <w:rFonts w:ascii="Eras Light ITC" w:hAnsi="Eras Light ITC"/>
          <w:color w:val="C00000"/>
          <w:sz w:val="36"/>
          <w:szCs w:val="72"/>
        </w:rPr>
        <w:t xml:space="preserve">February </w:t>
      </w:r>
      <w:r w:rsidR="003D28EB">
        <w:rPr>
          <w:rFonts w:ascii="Eras Light ITC" w:hAnsi="Eras Light ITC"/>
          <w:color w:val="C00000"/>
          <w:sz w:val="36"/>
          <w:szCs w:val="72"/>
        </w:rPr>
        <w:t>2016</w:t>
      </w:r>
    </w:p>
    <w:p w14:paraId="1594027E" w14:textId="77777777" w:rsidR="00966B6B" w:rsidRPr="00710AA8" w:rsidRDefault="00966B6B" w:rsidP="00966B6B">
      <w:pPr>
        <w:jc w:val="center"/>
        <w:rPr>
          <w:rFonts w:ascii="Eras Demi ITC" w:hAnsi="Eras Demi ITC"/>
          <w:color w:val="C00000"/>
          <w:szCs w:val="72"/>
        </w:rPr>
      </w:pPr>
    </w:p>
    <w:p w14:paraId="6A306952" w14:textId="77777777" w:rsidR="00966B6B" w:rsidRDefault="00966B6B" w:rsidP="00966B6B">
      <w:pPr>
        <w:jc w:val="center"/>
        <w:rPr>
          <w:rFonts w:ascii="Eras Demi ITC" w:hAnsi="Eras Demi ITC"/>
          <w:color w:val="C00000"/>
          <w:sz w:val="44"/>
          <w:szCs w:val="72"/>
        </w:rPr>
      </w:pPr>
    </w:p>
    <w:p w14:paraId="5E456EEA" w14:textId="77777777" w:rsidR="00B66132" w:rsidRDefault="00B66132" w:rsidP="00966B6B">
      <w:pPr>
        <w:rPr>
          <w:rFonts w:ascii="Eras Demi ITC" w:hAnsi="Eras Demi ITC"/>
          <w:color w:val="C00000"/>
          <w:sz w:val="18"/>
          <w:szCs w:val="72"/>
        </w:rPr>
      </w:pPr>
    </w:p>
    <w:p w14:paraId="658A80A2" w14:textId="77777777" w:rsidR="00045A05" w:rsidRPr="007273F2" w:rsidRDefault="00045A05" w:rsidP="00966B6B">
      <w:pPr>
        <w:rPr>
          <w:rFonts w:ascii="Eras Demi ITC" w:hAnsi="Eras Demi ITC"/>
          <w:color w:val="C00000"/>
          <w:sz w:val="18"/>
          <w:szCs w:val="72"/>
        </w:rPr>
      </w:pPr>
    </w:p>
    <w:p w14:paraId="28BCF814" w14:textId="198067D5" w:rsidR="00E36D51" w:rsidRDefault="00641D02" w:rsidP="00E36D5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 xml:space="preserve">Judge </w:t>
      </w:r>
      <w:r w:rsidR="006F2259">
        <w:rPr>
          <w:rFonts w:ascii="Eras Demi ITC" w:hAnsi="Eras Demi ITC"/>
          <w:bCs/>
          <w:color w:val="C00000"/>
          <w:sz w:val="28"/>
          <w:szCs w:val="28"/>
        </w:rPr>
        <w:t>Orders Three-Quarter House to Stop Harassing Tenants</w:t>
      </w:r>
    </w:p>
    <w:p w14:paraId="54FC0DAE" w14:textId="77777777" w:rsidR="006F2259" w:rsidRPr="00EA4E01" w:rsidRDefault="006F2259" w:rsidP="006F2259">
      <w:pPr>
        <w:rPr>
          <w:sz w:val="14"/>
        </w:rPr>
      </w:pPr>
    </w:p>
    <w:p w14:paraId="48B7F9EE" w14:textId="53912E70" w:rsidR="006F2259" w:rsidRPr="006F2259" w:rsidRDefault="006F2259" w:rsidP="006F2259">
      <w:pPr>
        <w:rPr>
          <w:rFonts w:asciiTheme="minorHAnsi" w:hAnsiTheme="minorHAnsi"/>
          <w:sz w:val="22"/>
          <w:szCs w:val="22"/>
        </w:rPr>
      </w:pPr>
      <w:r w:rsidRPr="006F2259">
        <w:rPr>
          <w:rFonts w:asciiTheme="minorHAnsi" w:hAnsiTheme="minorHAnsi"/>
          <w:sz w:val="22"/>
          <w:szCs w:val="22"/>
        </w:rPr>
        <w:t xml:space="preserve">A Manhattan judge </w:t>
      </w:r>
      <w:hyperlink r:id="rId5" w:history="1">
        <w:r w:rsidRPr="006F2259">
          <w:rPr>
            <w:rStyle w:val="Hyperlink"/>
            <w:rFonts w:asciiTheme="minorHAnsi" w:hAnsiTheme="minorHAnsi"/>
            <w:sz w:val="22"/>
            <w:szCs w:val="22"/>
          </w:rPr>
          <w:t>granted a preliminary injunction</w:t>
        </w:r>
      </w:hyperlink>
      <w:r w:rsidRPr="006F2259">
        <w:rPr>
          <w:rFonts w:asciiTheme="minorHAnsi" w:hAnsiTheme="minorHAnsi"/>
          <w:sz w:val="22"/>
          <w:szCs w:val="22"/>
        </w:rPr>
        <w:t xml:space="preserve"> barring a three-quarter house landlord from harassing tenants. After three tenants represented by MFY Legal Services won eviction cases in Housing Court, the three-quarter house operator cut off heat, discarded tenants’ food, and required them to move to different rooms every 28 days in an attempt to evade unlawful eviction laws. </w:t>
      </w:r>
      <w:r>
        <w:rPr>
          <w:rFonts w:asciiTheme="minorHAnsi" w:hAnsiTheme="minorHAnsi"/>
          <w:sz w:val="22"/>
          <w:szCs w:val="22"/>
        </w:rPr>
        <w:t xml:space="preserve">This decision adds to a growing body of decisions supporting the right of three-quarter house residents to be considered tenants under New York housing law. </w:t>
      </w:r>
      <w:hyperlink r:id="rId6" w:history="1">
        <w:r w:rsidRPr="006F2259">
          <w:rPr>
            <w:rStyle w:val="Hyperlink"/>
            <w:rFonts w:asciiTheme="minorHAnsi" w:hAnsiTheme="minorHAnsi"/>
            <w:sz w:val="22"/>
            <w:szCs w:val="22"/>
          </w:rPr>
          <w:t>Read decision here</w:t>
        </w:r>
      </w:hyperlink>
      <w:r w:rsidRPr="006F2259">
        <w:rPr>
          <w:rFonts w:asciiTheme="minorHAnsi" w:hAnsiTheme="minorHAnsi"/>
          <w:sz w:val="22"/>
          <w:szCs w:val="22"/>
        </w:rPr>
        <w:t>.</w:t>
      </w:r>
    </w:p>
    <w:p w14:paraId="5D1C601B" w14:textId="77777777" w:rsidR="001669A5" w:rsidRPr="001669A5" w:rsidRDefault="001669A5" w:rsidP="00E36D51">
      <w:pPr>
        <w:pStyle w:val="owapara"/>
        <w:rPr>
          <w:rFonts w:ascii="Eras Demi ITC" w:hAnsi="Eras Demi ITC"/>
          <w:bCs/>
          <w:color w:val="C00000"/>
          <w:sz w:val="18"/>
          <w:szCs w:val="28"/>
        </w:rPr>
      </w:pPr>
    </w:p>
    <w:p w14:paraId="14E0A661" w14:textId="0DC13364" w:rsidR="00610C43" w:rsidRPr="00BB16B1" w:rsidRDefault="00610C43" w:rsidP="007E7361">
      <w:pPr>
        <w:pStyle w:val="owapara"/>
        <w:rPr>
          <w:rFonts w:asciiTheme="minorHAnsi" w:hAnsiTheme="minorHAnsi" w:cs="Arial"/>
          <w:sz w:val="4"/>
          <w:szCs w:val="22"/>
        </w:rPr>
      </w:pPr>
    </w:p>
    <w:p w14:paraId="090994A6" w14:textId="2EAF0AFC" w:rsidR="00610C43" w:rsidRDefault="006F2259" w:rsidP="007E736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bCs/>
          <w:color w:val="C00000"/>
          <w:sz w:val="28"/>
          <w:szCs w:val="28"/>
        </w:rPr>
        <w:t>M</w:t>
      </w:r>
      <w:r w:rsidR="003D0B22">
        <w:rPr>
          <w:rFonts w:ascii="Eras Demi ITC" w:hAnsi="Eras Demi ITC"/>
          <w:bCs/>
          <w:color w:val="C00000"/>
          <w:sz w:val="28"/>
          <w:szCs w:val="28"/>
        </w:rPr>
        <w:t xml:space="preserve">FY Wins Settlement </w:t>
      </w:r>
      <w:r w:rsidR="00282464">
        <w:rPr>
          <w:rFonts w:ascii="Eras Demi ITC" w:hAnsi="Eras Demi ITC"/>
          <w:bCs/>
          <w:color w:val="C00000"/>
          <w:sz w:val="28"/>
          <w:szCs w:val="28"/>
        </w:rPr>
        <w:t xml:space="preserve">Approval </w:t>
      </w:r>
      <w:r w:rsidR="003D0B22">
        <w:rPr>
          <w:rFonts w:ascii="Eras Demi ITC" w:hAnsi="Eras Demi ITC"/>
          <w:bCs/>
          <w:color w:val="C00000"/>
          <w:sz w:val="28"/>
          <w:szCs w:val="28"/>
        </w:rPr>
        <w:t xml:space="preserve">in </w:t>
      </w:r>
      <w:r w:rsidR="00282464">
        <w:rPr>
          <w:rFonts w:ascii="Eras Demi ITC" w:hAnsi="Eras Demi ITC"/>
          <w:bCs/>
          <w:color w:val="C00000"/>
          <w:sz w:val="28"/>
          <w:szCs w:val="28"/>
        </w:rPr>
        <w:t xml:space="preserve">Two </w:t>
      </w:r>
      <w:r w:rsidR="003D0B22">
        <w:rPr>
          <w:rFonts w:ascii="Eras Demi ITC" w:hAnsi="Eras Demi ITC"/>
          <w:bCs/>
          <w:color w:val="C00000"/>
          <w:sz w:val="28"/>
          <w:szCs w:val="28"/>
        </w:rPr>
        <w:t>Class Action Lawsuit</w:t>
      </w:r>
      <w:r w:rsidR="00282464">
        <w:rPr>
          <w:rFonts w:ascii="Eras Demi ITC" w:hAnsi="Eras Demi ITC"/>
          <w:bCs/>
          <w:color w:val="C00000"/>
          <w:sz w:val="28"/>
          <w:szCs w:val="28"/>
        </w:rPr>
        <w:t>s</w:t>
      </w:r>
      <w:r w:rsidR="003D0B22">
        <w:rPr>
          <w:rFonts w:ascii="Eras Demi ITC" w:hAnsi="Eras Demi ITC"/>
          <w:bCs/>
          <w:color w:val="C00000"/>
          <w:sz w:val="28"/>
          <w:szCs w:val="28"/>
        </w:rPr>
        <w:t xml:space="preserve"> Demanding Unpaid Wages for Home Care Workers</w:t>
      </w:r>
    </w:p>
    <w:p w14:paraId="1C87DB12" w14:textId="77777777" w:rsidR="003D0B22" w:rsidRPr="00EA4E01" w:rsidRDefault="003D0B22" w:rsidP="007E7361">
      <w:pPr>
        <w:pStyle w:val="owapara"/>
        <w:rPr>
          <w:rFonts w:asciiTheme="minorHAnsi" w:hAnsiTheme="minorHAnsi"/>
          <w:sz w:val="14"/>
          <w:szCs w:val="22"/>
        </w:rPr>
      </w:pPr>
    </w:p>
    <w:p w14:paraId="518600A9" w14:textId="148B0CB5" w:rsidR="003D0B22" w:rsidRDefault="003D0B22" w:rsidP="007E736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MFY’s Workplace Justice Project settled </w:t>
      </w:r>
      <w:r w:rsidR="00282464">
        <w:rPr>
          <w:rFonts w:asciiTheme="minorHAnsi" w:hAnsiTheme="minorHAnsi"/>
          <w:sz w:val="22"/>
          <w:szCs w:val="22"/>
        </w:rPr>
        <w:t xml:space="preserve">two </w:t>
      </w:r>
      <w:r>
        <w:rPr>
          <w:rFonts w:asciiTheme="minorHAnsi" w:hAnsiTheme="minorHAnsi"/>
          <w:sz w:val="22"/>
          <w:szCs w:val="22"/>
        </w:rPr>
        <w:t>class action lawsuit</w:t>
      </w:r>
      <w:r w:rsidR="002824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on behalf of some </w:t>
      </w:r>
      <w:r w:rsidR="00AE60B0">
        <w:rPr>
          <w:rFonts w:asciiTheme="minorHAnsi" w:hAnsiTheme="minorHAnsi"/>
          <w:sz w:val="22"/>
          <w:szCs w:val="22"/>
        </w:rPr>
        <w:t>3,000</w:t>
      </w:r>
      <w:r>
        <w:rPr>
          <w:rFonts w:asciiTheme="minorHAnsi" w:hAnsiTheme="minorHAnsi"/>
          <w:sz w:val="22"/>
          <w:szCs w:val="22"/>
        </w:rPr>
        <w:t xml:space="preserve"> home health care </w:t>
      </w:r>
      <w:r w:rsidR="00AE60B0">
        <w:rPr>
          <w:rFonts w:asciiTheme="minorHAnsi" w:hAnsiTheme="minorHAnsi"/>
          <w:sz w:val="22"/>
          <w:szCs w:val="22"/>
        </w:rPr>
        <w:t xml:space="preserve">workers </w:t>
      </w:r>
      <w:r>
        <w:rPr>
          <w:rFonts w:asciiTheme="minorHAnsi" w:hAnsiTheme="minorHAnsi"/>
          <w:sz w:val="22"/>
          <w:szCs w:val="22"/>
        </w:rPr>
        <w:t>who did not receive overtime and spread-of-hours pay, dating back to 2006. The plaintiffs, who provided personal care and assistance to the elderly and people with disabilities of the BNV Home Care Agency</w:t>
      </w:r>
      <w:r w:rsidR="00AE60B0">
        <w:rPr>
          <w:rFonts w:asciiTheme="minorHAnsi" w:hAnsiTheme="minorHAnsi"/>
          <w:sz w:val="22"/>
          <w:szCs w:val="22"/>
        </w:rPr>
        <w:t>, Academy Care Givers, and First Care of New York</w:t>
      </w:r>
      <w:r>
        <w:rPr>
          <w:rFonts w:asciiTheme="minorHAnsi" w:hAnsiTheme="minorHAnsi"/>
          <w:sz w:val="22"/>
          <w:szCs w:val="22"/>
        </w:rPr>
        <w:t xml:space="preserve">, worked </w:t>
      </w:r>
      <w:r w:rsidR="00AE60B0">
        <w:rPr>
          <w:rFonts w:asciiTheme="minorHAnsi" w:hAnsiTheme="minorHAnsi"/>
          <w:sz w:val="22"/>
          <w:szCs w:val="22"/>
        </w:rPr>
        <w:t xml:space="preserve">up to </w:t>
      </w:r>
      <w:r>
        <w:rPr>
          <w:rFonts w:asciiTheme="minorHAnsi" w:hAnsiTheme="minorHAnsi"/>
          <w:sz w:val="22"/>
          <w:szCs w:val="22"/>
        </w:rPr>
        <w:t>70 or 80 hours a week</w:t>
      </w:r>
      <w:r w:rsidR="00AE60B0">
        <w:rPr>
          <w:rFonts w:asciiTheme="minorHAnsi" w:hAnsiTheme="minorHAnsi"/>
          <w:sz w:val="22"/>
          <w:szCs w:val="22"/>
        </w:rPr>
        <w:t xml:space="preserve"> or more</w:t>
      </w:r>
      <w:r>
        <w:rPr>
          <w:rFonts w:asciiTheme="minorHAnsi" w:hAnsiTheme="minorHAnsi"/>
          <w:sz w:val="22"/>
          <w:szCs w:val="22"/>
        </w:rPr>
        <w:t xml:space="preserve">.  The settlements total $800,000 and $525,000. Abbey </w:t>
      </w:r>
      <w:proofErr w:type="spellStart"/>
      <w:r>
        <w:rPr>
          <w:rFonts w:asciiTheme="minorHAnsi" w:hAnsiTheme="minorHAnsi"/>
          <w:sz w:val="22"/>
          <w:szCs w:val="22"/>
        </w:rPr>
        <w:t>Spanier</w:t>
      </w:r>
      <w:proofErr w:type="spellEnd"/>
      <w:r>
        <w:rPr>
          <w:rFonts w:asciiTheme="minorHAnsi" w:hAnsiTheme="minorHAnsi"/>
          <w:sz w:val="22"/>
          <w:szCs w:val="22"/>
        </w:rPr>
        <w:t xml:space="preserve"> LLP served as co-counsel on the case</w:t>
      </w:r>
      <w:r w:rsidR="002824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03AF4EDD" w14:textId="58E2962A" w:rsidR="006F2259" w:rsidRDefault="006F2259" w:rsidP="007E736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</w:p>
    <w:p w14:paraId="3108E28A" w14:textId="07A7B994" w:rsidR="00EA4E01" w:rsidRDefault="00EA4E01" w:rsidP="00EA4E01">
      <w:pPr>
        <w:pStyle w:val="owapara"/>
        <w:rPr>
          <w:rFonts w:ascii="Eras Demi ITC" w:hAnsi="Eras Demi ITC"/>
          <w:bCs/>
          <w:color w:val="C00000"/>
          <w:sz w:val="28"/>
          <w:szCs w:val="28"/>
        </w:rPr>
      </w:pPr>
      <w:r>
        <w:rPr>
          <w:rFonts w:ascii="Eras Demi ITC" w:hAnsi="Eras Demi ITC"/>
          <w:noProof/>
          <w:color w:val="C00000"/>
          <w:sz w:val="28"/>
          <w:szCs w:val="72"/>
        </w:rPr>
        <w:drawing>
          <wp:anchor distT="0" distB="0" distL="114300" distR="114300" simplePos="0" relativeHeight="251659264" behindDoc="0" locked="0" layoutInCell="1" allowOverlap="1" wp14:anchorId="44B7413F" wp14:editId="577A307C">
            <wp:simplePos x="0" y="0"/>
            <wp:positionH relativeFrom="margin">
              <wp:posOffset>0</wp:posOffset>
            </wp:positionH>
            <wp:positionV relativeFrom="paragraph">
              <wp:posOffset>43180</wp:posOffset>
            </wp:positionV>
            <wp:extent cx="1565275" cy="10763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nny proclam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ras Demi ITC" w:hAnsi="Eras Demi ITC"/>
          <w:bCs/>
          <w:color w:val="C00000"/>
          <w:sz w:val="28"/>
          <w:szCs w:val="28"/>
        </w:rPr>
        <w:t>City Council Honors MFY Paralegal</w:t>
      </w:r>
    </w:p>
    <w:p w14:paraId="3CE78D71" w14:textId="3A749260" w:rsidR="00EA4E01" w:rsidRPr="00EA4E01" w:rsidRDefault="00EA4E01" w:rsidP="00EA4E01">
      <w:pPr>
        <w:pStyle w:val="owapara"/>
        <w:rPr>
          <w:rFonts w:asciiTheme="minorHAnsi" w:hAnsiTheme="minorHAnsi"/>
          <w:sz w:val="12"/>
          <w:szCs w:val="22"/>
        </w:rPr>
      </w:pPr>
    </w:p>
    <w:p w14:paraId="06C6878A" w14:textId="56D248F4" w:rsidR="00EA4E01" w:rsidRDefault="00EA4E01" w:rsidP="00EA4E01">
      <w:pPr>
        <w:rPr>
          <w:rFonts w:ascii="Eras Demi ITC" w:hAnsi="Eras Demi ITC"/>
          <w:color w:val="C00000"/>
          <w:sz w:val="28"/>
          <w:szCs w:val="72"/>
        </w:rPr>
      </w:pPr>
      <w:r>
        <w:rPr>
          <w:rFonts w:asciiTheme="minorHAnsi" w:hAnsiTheme="minorHAnsi"/>
          <w:sz w:val="22"/>
          <w:szCs w:val="22"/>
        </w:rPr>
        <w:t>City Council Member Margaret Chin presented a proclamation from the City Council to MFY Paralegal Fanny Chan in recognition of her tireless work over the past decade to help low-income residents of Chinatown with housing and public benefit issues. The presentation took place at a Lunar New Year celebration on February 29, 2016.</w:t>
      </w:r>
    </w:p>
    <w:p w14:paraId="094A729B" w14:textId="77777777" w:rsidR="00EA4E01" w:rsidRDefault="00EA4E01" w:rsidP="00966B6B">
      <w:pPr>
        <w:rPr>
          <w:rFonts w:ascii="Eras Demi ITC" w:hAnsi="Eras Demi ITC"/>
          <w:color w:val="C00000"/>
          <w:sz w:val="28"/>
          <w:szCs w:val="72"/>
        </w:rPr>
      </w:pPr>
    </w:p>
    <w:p w14:paraId="7E91F7D4" w14:textId="77777777" w:rsidR="009E6C01" w:rsidRDefault="009E6C01" w:rsidP="00966B6B">
      <w:pPr>
        <w:rPr>
          <w:rFonts w:ascii="Eras Demi ITC" w:hAnsi="Eras Demi ITC"/>
          <w:color w:val="C00000"/>
          <w:sz w:val="28"/>
          <w:szCs w:val="72"/>
        </w:rPr>
      </w:pPr>
      <w:r w:rsidRPr="00296C5C">
        <w:rPr>
          <w:rFonts w:ascii="Eras Demi ITC" w:hAnsi="Eras Demi ITC"/>
          <w:color w:val="C00000"/>
          <w:sz w:val="28"/>
          <w:szCs w:val="72"/>
        </w:rPr>
        <w:t>MFY in the News . . .</w:t>
      </w:r>
    </w:p>
    <w:p w14:paraId="7032CE74" w14:textId="77777777" w:rsidR="006F2259" w:rsidRPr="00EA4E01" w:rsidRDefault="006F2259" w:rsidP="00966B6B">
      <w:pPr>
        <w:rPr>
          <w:rFonts w:ascii="Eras Demi ITC" w:hAnsi="Eras Demi ITC"/>
          <w:color w:val="C00000"/>
          <w:sz w:val="14"/>
          <w:szCs w:val="72"/>
        </w:rPr>
      </w:pPr>
    </w:p>
    <w:p w14:paraId="682738B7" w14:textId="20E6D003" w:rsidR="006F2259" w:rsidRDefault="006F2259" w:rsidP="00966B6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Supervising Attorney Elizabeth Lynch weighs </w:t>
      </w:r>
      <w:r w:rsidR="00282464">
        <w:rPr>
          <w:rFonts w:asciiTheme="minorHAnsi" w:hAnsiTheme="minorHAnsi" w:cs="Arial"/>
          <w:sz w:val="22"/>
          <w:szCs w:val="22"/>
        </w:rPr>
        <w:t xml:space="preserve">in on consolidation of foreclosure cases in Kings County </w:t>
      </w:r>
      <w:r>
        <w:rPr>
          <w:rFonts w:asciiTheme="minorHAnsi" w:hAnsiTheme="minorHAnsi" w:cs="Arial"/>
          <w:sz w:val="22"/>
          <w:szCs w:val="22"/>
        </w:rPr>
        <w:t xml:space="preserve">in </w:t>
      </w:r>
      <w:r w:rsidR="00282464">
        <w:rPr>
          <w:rFonts w:asciiTheme="minorHAnsi" w:hAnsiTheme="minorHAnsi" w:cs="Arial"/>
          <w:sz w:val="22"/>
          <w:szCs w:val="22"/>
        </w:rPr>
        <w:t xml:space="preserve">a </w:t>
      </w:r>
      <w:hyperlink r:id="rId8" w:history="1">
        <w:r w:rsidRPr="006F2259">
          <w:rPr>
            <w:rStyle w:val="Hyperlink"/>
            <w:rFonts w:asciiTheme="minorHAnsi" w:hAnsiTheme="minorHAnsi" w:cs="Arial"/>
            <w:sz w:val="22"/>
            <w:szCs w:val="22"/>
          </w:rPr>
          <w:t>New York Law Journal</w:t>
        </w:r>
      </w:hyperlink>
      <w:r>
        <w:rPr>
          <w:rFonts w:asciiTheme="minorHAnsi" w:hAnsiTheme="minorHAnsi" w:cs="Arial"/>
          <w:sz w:val="22"/>
          <w:szCs w:val="22"/>
        </w:rPr>
        <w:t xml:space="preserve"> article.</w:t>
      </w:r>
    </w:p>
    <w:p w14:paraId="50DEBCFC" w14:textId="77777777" w:rsidR="006F2259" w:rsidRPr="00EA4E01" w:rsidRDefault="006F2259" w:rsidP="00966B6B">
      <w:pPr>
        <w:rPr>
          <w:rFonts w:asciiTheme="minorHAnsi" w:hAnsiTheme="minorHAnsi" w:cs="Arial"/>
          <w:sz w:val="10"/>
          <w:szCs w:val="22"/>
        </w:rPr>
      </w:pPr>
    </w:p>
    <w:p w14:paraId="0C04F2AE" w14:textId="047A39E8" w:rsidR="006F2259" w:rsidRDefault="006F2259" w:rsidP="00966B6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New York Law Journal highlights the works of poverty justice fellows working at MFY and other organizations:</w:t>
      </w:r>
      <w:hyperlink r:id="rId9" w:history="1">
        <w:r w:rsidRPr="006F2259">
          <w:rPr>
            <w:rStyle w:val="Hyperlink"/>
            <w:rFonts w:asciiTheme="minorHAnsi" w:hAnsiTheme="minorHAnsi" w:cs="Arial"/>
            <w:sz w:val="22"/>
            <w:szCs w:val="22"/>
          </w:rPr>
          <w:t xml:space="preserve"> Poverty Justice Fellows Fight for Tenants in Housing Court</w:t>
        </w:r>
      </w:hyperlink>
      <w:r w:rsidR="00282464">
        <w:rPr>
          <w:rStyle w:val="Hyperlink"/>
          <w:rFonts w:asciiTheme="minorHAnsi" w:hAnsiTheme="minorHAnsi" w:cs="Arial"/>
          <w:sz w:val="22"/>
          <w:szCs w:val="22"/>
        </w:rPr>
        <w:t>.</w:t>
      </w:r>
    </w:p>
    <w:p w14:paraId="51B75747" w14:textId="77777777" w:rsidR="006F2259" w:rsidRPr="00EA4E01" w:rsidRDefault="006F2259" w:rsidP="00966B6B">
      <w:pPr>
        <w:rPr>
          <w:rFonts w:asciiTheme="minorHAnsi" w:hAnsiTheme="minorHAnsi" w:cs="Arial"/>
          <w:sz w:val="10"/>
          <w:szCs w:val="22"/>
        </w:rPr>
      </w:pPr>
    </w:p>
    <w:p w14:paraId="019C1DA8" w14:textId="51C6D4B0" w:rsidR="006F2259" w:rsidRDefault="006F2259" w:rsidP="00966B6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MFY has joined with other advocates in speaking out </w:t>
      </w:r>
      <w:r w:rsidR="00282464">
        <w:rPr>
          <w:rFonts w:asciiTheme="minorHAnsi" w:hAnsiTheme="minorHAnsi" w:cs="Arial"/>
          <w:sz w:val="22"/>
          <w:szCs w:val="22"/>
        </w:rPr>
        <w:t xml:space="preserve">against </w:t>
      </w:r>
      <w:r>
        <w:rPr>
          <w:rFonts w:asciiTheme="minorHAnsi" w:hAnsiTheme="minorHAnsi" w:cs="Arial"/>
          <w:sz w:val="22"/>
          <w:szCs w:val="22"/>
        </w:rPr>
        <w:t xml:space="preserve">illegal hotels: </w:t>
      </w:r>
      <w:hyperlink r:id="rId10" w:history="1">
        <w:r w:rsidRPr="006F2259">
          <w:rPr>
            <w:rStyle w:val="Hyperlink"/>
            <w:rFonts w:asciiTheme="minorHAnsi" w:hAnsiTheme="minorHAnsi" w:cs="Arial"/>
            <w:sz w:val="22"/>
            <w:szCs w:val="22"/>
          </w:rPr>
          <w:t xml:space="preserve">Local Officials Raise Alarm about Affordable Apartments being </w:t>
        </w:r>
        <w:proofErr w:type="gramStart"/>
        <w:r w:rsidRPr="006F2259">
          <w:rPr>
            <w:rStyle w:val="Hyperlink"/>
            <w:rFonts w:asciiTheme="minorHAnsi" w:hAnsiTheme="minorHAnsi" w:cs="Arial"/>
            <w:sz w:val="22"/>
            <w:szCs w:val="22"/>
          </w:rPr>
          <w:t>Converted</w:t>
        </w:r>
        <w:proofErr w:type="gramEnd"/>
        <w:r w:rsidRPr="006F2259">
          <w:rPr>
            <w:rStyle w:val="Hyperlink"/>
            <w:rFonts w:asciiTheme="minorHAnsi" w:hAnsiTheme="minorHAnsi" w:cs="Arial"/>
            <w:sz w:val="22"/>
            <w:szCs w:val="22"/>
          </w:rPr>
          <w:t xml:space="preserve"> into Hotels</w:t>
        </w:r>
      </w:hyperlink>
      <w:r w:rsidR="00282464">
        <w:rPr>
          <w:rStyle w:val="Hyperlink"/>
          <w:rFonts w:asciiTheme="minorHAnsi" w:hAnsiTheme="minorHAnsi" w:cs="Arial"/>
          <w:sz w:val="22"/>
          <w:szCs w:val="22"/>
        </w:rPr>
        <w:t>.</w:t>
      </w:r>
    </w:p>
    <w:p w14:paraId="61FB23FC" w14:textId="77777777" w:rsidR="006F2259" w:rsidRDefault="006F2259" w:rsidP="00966B6B">
      <w:pPr>
        <w:rPr>
          <w:rFonts w:ascii="Eras Demi ITC" w:hAnsi="Eras Demi ITC"/>
          <w:color w:val="C00000"/>
          <w:sz w:val="28"/>
          <w:szCs w:val="72"/>
        </w:rPr>
      </w:pPr>
    </w:p>
    <w:p w14:paraId="40DD8B9B" w14:textId="389FEE85" w:rsidR="0099098A" w:rsidRDefault="0099098A" w:rsidP="00164113">
      <w:pPr>
        <w:jc w:val="right"/>
        <w:rPr>
          <w:sz w:val="14"/>
        </w:rPr>
      </w:pPr>
      <w:bookmarkStart w:id="0" w:name="_GoBack"/>
      <w:bookmarkEnd w:id="0"/>
    </w:p>
    <w:sectPr w:rsidR="0099098A" w:rsidSect="008D4D1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6B"/>
    <w:rsid w:val="0002766A"/>
    <w:rsid w:val="00045A05"/>
    <w:rsid w:val="00057E94"/>
    <w:rsid w:val="00081D25"/>
    <w:rsid w:val="000A5E5D"/>
    <w:rsid w:val="000B27C8"/>
    <w:rsid w:val="000B687C"/>
    <w:rsid w:val="000C7E98"/>
    <w:rsid w:val="000D585D"/>
    <w:rsid w:val="00120F25"/>
    <w:rsid w:val="00127932"/>
    <w:rsid w:val="001314E9"/>
    <w:rsid w:val="00164113"/>
    <w:rsid w:val="001669A5"/>
    <w:rsid w:val="001A74D9"/>
    <w:rsid w:val="001C09AE"/>
    <w:rsid w:val="001E121E"/>
    <w:rsid w:val="001F079C"/>
    <w:rsid w:val="00215614"/>
    <w:rsid w:val="00223BCC"/>
    <w:rsid w:val="00227D56"/>
    <w:rsid w:val="00257010"/>
    <w:rsid w:val="002770E6"/>
    <w:rsid w:val="00282464"/>
    <w:rsid w:val="00296C5C"/>
    <w:rsid w:val="002B49A9"/>
    <w:rsid w:val="002D6CA4"/>
    <w:rsid w:val="00303F0B"/>
    <w:rsid w:val="0030482C"/>
    <w:rsid w:val="00370907"/>
    <w:rsid w:val="003946A8"/>
    <w:rsid w:val="003B27E4"/>
    <w:rsid w:val="003D0B22"/>
    <w:rsid w:val="003D28EB"/>
    <w:rsid w:val="003F4F1D"/>
    <w:rsid w:val="003F7A7E"/>
    <w:rsid w:val="0042692C"/>
    <w:rsid w:val="00431BF7"/>
    <w:rsid w:val="00434F72"/>
    <w:rsid w:val="004738E1"/>
    <w:rsid w:val="004869B5"/>
    <w:rsid w:val="00494AA2"/>
    <w:rsid w:val="004960D8"/>
    <w:rsid w:val="004A4D65"/>
    <w:rsid w:val="004B6BF3"/>
    <w:rsid w:val="005109C9"/>
    <w:rsid w:val="00523ED0"/>
    <w:rsid w:val="005371F4"/>
    <w:rsid w:val="00564E93"/>
    <w:rsid w:val="005903A9"/>
    <w:rsid w:val="00610C43"/>
    <w:rsid w:val="00637812"/>
    <w:rsid w:val="00641D02"/>
    <w:rsid w:val="00656DA1"/>
    <w:rsid w:val="00657CE2"/>
    <w:rsid w:val="0066532C"/>
    <w:rsid w:val="0068740C"/>
    <w:rsid w:val="006B21DF"/>
    <w:rsid w:val="006B62EE"/>
    <w:rsid w:val="006C64C8"/>
    <w:rsid w:val="006E1049"/>
    <w:rsid w:val="006F2259"/>
    <w:rsid w:val="00710AA8"/>
    <w:rsid w:val="00721533"/>
    <w:rsid w:val="00722D51"/>
    <w:rsid w:val="007273F2"/>
    <w:rsid w:val="007530C8"/>
    <w:rsid w:val="00783AD2"/>
    <w:rsid w:val="0078752A"/>
    <w:rsid w:val="007C52B3"/>
    <w:rsid w:val="007E7361"/>
    <w:rsid w:val="007F49B1"/>
    <w:rsid w:val="008255CC"/>
    <w:rsid w:val="008548ED"/>
    <w:rsid w:val="008722EF"/>
    <w:rsid w:val="008C2770"/>
    <w:rsid w:val="008D4D12"/>
    <w:rsid w:val="00902F11"/>
    <w:rsid w:val="009039E6"/>
    <w:rsid w:val="0091531F"/>
    <w:rsid w:val="00925FE9"/>
    <w:rsid w:val="00934774"/>
    <w:rsid w:val="0095123F"/>
    <w:rsid w:val="00964064"/>
    <w:rsid w:val="00966B6B"/>
    <w:rsid w:val="00984209"/>
    <w:rsid w:val="0099098A"/>
    <w:rsid w:val="0099218F"/>
    <w:rsid w:val="009A738C"/>
    <w:rsid w:val="009E6C01"/>
    <w:rsid w:val="009E72FF"/>
    <w:rsid w:val="009F6A81"/>
    <w:rsid w:val="00A05B22"/>
    <w:rsid w:val="00A14241"/>
    <w:rsid w:val="00A346A8"/>
    <w:rsid w:val="00A36A11"/>
    <w:rsid w:val="00A47BCF"/>
    <w:rsid w:val="00A53392"/>
    <w:rsid w:val="00A8316D"/>
    <w:rsid w:val="00A90EFE"/>
    <w:rsid w:val="00A955F9"/>
    <w:rsid w:val="00AA38D3"/>
    <w:rsid w:val="00AA7C4A"/>
    <w:rsid w:val="00AB21A3"/>
    <w:rsid w:val="00AD43D9"/>
    <w:rsid w:val="00AE60B0"/>
    <w:rsid w:val="00B04D36"/>
    <w:rsid w:val="00B0676F"/>
    <w:rsid w:val="00B15A7E"/>
    <w:rsid w:val="00B23E0B"/>
    <w:rsid w:val="00B66132"/>
    <w:rsid w:val="00B81615"/>
    <w:rsid w:val="00BB16B1"/>
    <w:rsid w:val="00BF37C4"/>
    <w:rsid w:val="00C06E43"/>
    <w:rsid w:val="00C246CB"/>
    <w:rsid w:val="00C34A4E"/>
    <w:rsid w:val="00C37769"/>
    <w:rsid w:val="00C44772"/>
    <w:rsid w:val="00C46E96"/>
    <w:rsid w:val="00CC3569"/>
    <w:rsid w:val="00CC5DF6"/>
    <w:rsid w:val="00CD2F46"/>
    <w:rsid w:val="00CE226C"/>
    <w:rsid w:val="00D00DFB"/>
    <w:rsid w:val="00D148D4"/>
    <w:rsid w:val="00D158B4"/>
    <w:rsid w:val="00D2552A"/>
    <w:rsid w:val="00D45AB9"/>
    <w:rsid w:val="00D67B4F"/>
    <w:rsid w:val="00D82441"/>
    <w:rsid w:val="00DA42F8"/>
    <w:rsid w:val="00DC3C62"/>
    <w:rsid w:val="00DF3231"/>
    <w:rsid w:val="00DF5811"/>
    <w:rsid w:val="00E113A2"/>
    <w:rsid w:val="00E36D51"/>
    <w:rsid w:val="00E40273"/>
    <w:rsid w:val="00E61FE5"/>
    <w:rsid w:val="00E733C1"/>
    <w:rsid w:val="00EA4E01"/>
    <w:rsid w:val="00F717F6"/>
    <w:rsid w:val="00F763F3"/>
    <w:rsid w:val="00F95B03"/>
    <w:rsid w:val="00F97908"/>
    <w:rsid w:val="00F97FA9"/>
    <w:rsid w:val="00FA02D6"/>
    <w:rsid w:val="00FB2B47"/>
    <w:rsid w:val="00FB7036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E6EC"/>
  <w15:docId w15:val="{8017F10A-D64E-43AE-BBB5-5AFFFC3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B22"/>
  </w:style>
  <w:style w:type="paragraph" w:styleId="Heading1">
    <w:name w:val="heading 1"/>
    <w:basedOn w:val="Normal"/>
    <w:link w:val="Heading1Char"/>
    <w:uiPriority w:val="9"/>
    <w:qFormat/>
    <w:rsid w:val="003048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4D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4D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4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48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F01C2"/>
  </w:style>
  <w:style w:type="paragraph" w:customStyle="1" w:styleId="owapara">
    <w:name w:val="owapara"/>
    <w:basedOn w:val="Normal"/>
    <w:rsid w:val="006E104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4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lawjournal.com/id=1202750342894/Consolidation-of-Brooklyn-Foreclosure-Cases-Leads-to-Concern?kw=Consolidation%20of%20Brooklyn%20Foreclosure%20Cases%20Leads%20to%20Concern&amp;cn=20160223&amp;pt=Daily%20News&amp;src=EMC-Email&amp;et=editorial&amp;bu=New%20York%20Law%20Journal&amp;slreturn=2016012309171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yorklawjournal.com/id=12027494670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ewyorklawjournal.com/id=1202749789596/Judge-Bars-Landlord-From-Harassing-ThreeQuarter-House-Tenants" TargetMode="External"/><Relationship Id="rId10" Type="http://schemas.openxmlformats.org/officeDocument/2006/relationships/hyperlink" Target="http://www.westsiderag.com/2016/02/23/local-officials-raise-alarm-about-affordable-apartments-being-converted-into-hotel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newyorklawjournal.com/this-weeks-news/id=1202749530550/Poverty-Justice-Fellows-Fight-for-Tenants-in-Housing-Court?mcode=1202615036097&amp;curindex=1&amp;slreturn=2016011609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Schaefer</dc:creator>
  <cp:keywords/>
  <dc:description/>
  <cp:lastModifiedBy>Dolores Schaefer</cp:lastModifiedBy>
  <cp:revision>4</cp:revision>
  <cp:lastPrinted>2015-04-29T20:53:00Z</cp:lastPrinted>
  <dcterms:created xsi:type="dcterms:W3CDTF">2016-02-29T14:27:00Z</dcterms:created>
  <dcterms:modified xsi:type="dcterms:W3CDTF">2016-03-01T17:36:00Z</dcterms:modified>
</cp:coreProperties>
</file>