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6B" w:rsidRDefault="00966B6B">
      <w:pPr>
        <w:rPr>
          <w:rFonts w:ascii="Eras Demi ITC" w:hAnsi="Eras Demi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154803" cy="16061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logo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B6B" w:rsidRPr="00966B6B" w:rsidRDefault="00966B6B" w:rsidP="00966B6B">
      <w:pPr>
        <w:jc w:val="center"/>
        <w:rPr>
          <w:rFonts w:ascii="Eras Demi ITC" w:hAnsi="Eras Demi ITC"/>
          <w:color w:val="C00000"/>
          <w:sz w:val="14"/>
          <w:szCs w:val="72"/>
        </w:rPr>
      </w:pPr>
    </w:p>
    <w:p w:rsidR="00984209" w:rsidRPr="004738E1" w:rsidRDefault="00966B6B" w:rsidP="00966B6B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:rsidR="00966B6B" w:rsidRPr="00DF5811" w:rsidRDefault="00A8316D" w:rsidP="00966B6B">
      <w:pPr>
        <w:jc w:val="center"/>
        <w:rPr>
          <w:rFonts w:ascii="Eras Light ITC" w:hAnsi="Eras Light ITC"/>
          <w:color w:val="C00000"/>
          <w:sz w:val="36"/>
          <w:szCs w:val="72"/>
        </w:rPr>
      </w:pPr>
      <w:r>
        <w:rPr>
          <w:rFonts w:ascii="Eras Light ITC" w:hAnsi="Eras Light ITC"/>
          <w:color w:val="C00000"/>
          <w:sz w:val="36"/>
          <w:szCs w:val="72"/>
        </w:rPr>
        <w:t>July</w:t>
      </w:r>
      <w:r w:rsidR="00A53392">
        <w:rPr>
          <w:rFonts w:ascii="Eras Light ITC" w:hAnsi="Eras Light ITC"/>
          <w:color w:val="C00000"/>
          <w:sz w:val="36"/>
          <w:szCs w:val="72"/>
        </w:rPr>
        <w:t xml:space="preserve"> </w:t>
      </w:r>
      <w:r w:rsidR="00DF5811" w:rsidRPr="00DF5811">
        <w:rPr>
          <w:rFonts w:ascii="Eras Light ITC" w:hAnsi="Eras Light ITC"/>
          <w:color w:val="C00000"/>
          <w:sz w:val="36"/>
          <w:szCs w:val="72"/>
        </w:rPr>
        <w:t>2015</w:t>
      </w:r>
    </w:p>
    <w:p w:rsidR="00966B6B" w:rsidRPr="00710AA8" w:rsidRDefault="00966B6B" w:rsidP="00966B6B">
      <w:pPr>
        <w:jc w:val="center"/>
        <w:rPr>
          <w:rFonts w:ascii="Eras Demi ITC" w:hAnsi="Eras Demi ITC"/>
          <w:color w:val="C00000"/>
          <w:szCs w:val="72"/>
        </w:rPr>
      </w:pPr>
    </w:p>
    <w:p w:rsidR="00966B6B" w:rsidRDefault="00966B6B" w:rsidP="00966B6B">
      <w:pPr>
        <w:jc w:val="center"/>
        <w:rPr>
          <w:rFonts w:ascii="Eras Demi ITC" w:hAnsi="Eras Demi ITC"/>
          <w:color w:val="C00000"/>
          <w:sz w:val="44"/>
          <w:szCs w:val="72"/>
        </w:rPr>
      </w:pPr>
    </w:p>
    <w:p w:rsidR="00B66132" w:rsidRPr="007273F2" w:rsidRDefault="00B66132" w:rsidP="00966B6B">
      <w:pPr>
        <w:rPr>
          <w:rFonts w:ascii="Eras Demi ITC" w:hAnsi="Eras Demi ITC"/>
          <w:color w:val="C00000"/>
          <w:sz w:val="18"/>
          <w:szCs w:val="72"/>
        </w:rPr>
      </w:pPr>
    </w:p>
    <w:p w:rsidR="00966B6B" w:rsidRDefault="0030482C" w:rsidP="00966B6B">
      <w:pPr>
        <w:rPr>
          <w:rFonts w:ascii="Eras Demi ITC" w:hAnsi="Eras Demi ITC"/>
          <w:color w:val="C00000"/>
          <w:sz w:val="32"/>
          <w:szCs w:val="72"/>
        </w:rPr>
      </w:pPr>
      <w:r>
        <w:rPr>
          <w:rFonts w:ascii="Eras Demi ITC" w:hAnsi="Eras Demi ITC"/>
          <w:color w:val="C00000"/>
          <w:sz w:val="32"/>
          <w:szCs w:val="72"/>
        </w:rPr>
        <w:t>Recent Successes</w:t>
      </w:r>
      <w:r w:rsidR="00B81615">
        <w:rPr>
          <w:rFonts w:ascii="Eras Demi ITC" w:hAnsi="Eras Demi ITC"/>
          <w:color w:val="C00000"/>
          <w:sz w:val="32"/>
          <w:szCs w:val="72"/>
        </w:rPr>
        <w:t xml:space="preserve"> . . .</w:t>
      </w:r>
    </w:p>
    <w:p w:rsidR="00F763F3" w:rsidRPr="00722D51" w:rsidRDefault="00F763F3" w:rsidP="00966B6B">
      <w:pPr>
        <w:rPr>
          <w:rFonts w:ascii="Arial" w:hAnsi="Arial" w:cs="Arial"/>
          <w:color w:val="000000" w:themeColor="text1"/>
          <w:sz w:val="10"/>
          <w:szCs w:val="20"/>
        </w:rPr>
      </w:pPr>
    </w:p>
    <w:p w:rsidR="006E1049" w:rsidRDefault="006E1049" w:rsidP="006E1049">
      <w:pPr>
        <w:pStyle w:val="owapara"/>
        <w:rPr>
          <w:rFonts w:ascii="Calibri" w:hAnsi="Calibri"/>
          <w:b/>
          <w:color w:val="000000"/>
        </w:rPr>
      </w:pPr>
    </w:p>
    <w:p w:rsidR="006E1049" w:rsidRPr="0099098A" w:rsidRDefault="00FB7036" w:rsidP="006E1049">
      <w:pPr>
        <w:pStyle w:val="owapara"/>
        <w:rPr>
          <w:rFonts w:ascii="Eras Demi ITC" w:hAnsi="Eras Demi ITC"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Tenant Restored to Now-</w:t>
      </w:r>
      <w:r w:rsidR="0099098A" w:rsidRPr="0099098A">
        <w:rPr>
          <w:rFonts w:ascii="Eras Demi ITC" w:hAnsi="Eras Demi ITC"/>
          <w:bCs/>
          <w:color w:val="C00000"/>
          <w:sz w:val="28"/>
          <w:szCs w:val="28"/>
        </w:rPr>
        <w:t>Occupied Apartment after</w:t>
      </w:r>
      <w:r w:rsidR="003B27E4">
        <w:rPr>
          <w:rFonts w:ascii="Eras Demi ITC" w:hAnsi="Eras Demi ITC"/>
          <w:bCs/>
          <w:color w:val="C00000"/>
          <w:sz w:val="28"/>
          <w:szCs w:val="28"/>
        </w:rPr>
        <w:t xml:space="preserve"> </w:t>
      </w:r>
      <w:r w:rsidR="0099098A" w:rsidRPr="0099098A">
        <w:rPr>
          <w:rFonts w:ascii="Eras Demi ITC" w:hAnsi="Eras Demi ITC"/>
          <w:bCs/>
          <w:color w:val="C00000"/>
          <w:sz w:val="28"/>
          <w:szCs w:val="28"/>
        </w:rPr>
        <w:t>Five-Year Battle</w:t>
      </w:r>
    </w:p>
    <w:p w:rsidR="006C64C8" w:rsidRDefault="006C64C8" w:rsidP="006E1049">
      <w:pPr>
        <w:pStyle w:val="owapara"/>
        <w:rPr>
          <w:rFonts w:asciiTheme="minorHAnsi" w:hAnsiTheme="minorHAnsi"/>
          <w:sz w:val="22"/>
          <w:szCs w:val="22"/>
        </w:rPr>
      </w:pPr>
    </w:p>
    <w:p w:rsidR="006E1049" w:rsidRDefault="0099098A" w:rsidP="006E1049">
      <w:pPr>
        <w:pStyle w:val="owapara"/>
        <w:rPr>
          <w:rFonts w:asciiTheme="minorHAnsi" w:hAnsiTheme="minorHAnsi"/>
          <w:sz w:val="22"/>
          <w:szCs w:val="22"/>
        </w:rPr>
      </w:pPr>
      <w:r w:rsidRPr="0099098A">
        <w:rPr>
          <w:rFonts w:asciiTheme="minorHAnsi" w:hAnsiTheme="minorHAnsi"/>
          <w:sz w:val="22"/>
          <w:szCs w:val="22"/>
        </w:rPr>
        <w:t xml:space="preserve">MFY Attorney Tanya Kessler won the </w:t>
      </w:r>
      <w:hyperlink r:id="rId5" w:tgtFrame="_blank" w:history="1">
        <w:r w:rsidRPr="0099098A">
          <w:rPr>
            <w:rStyle w:val="Hyperlink"/>
            <w:rFonts w:asciiTheme="minorHAnsi" w:hAnsiTheme="minorHAnsi"/>
            <w:sz w:val="22"/>
            <w:szCs w:val="22"/>
          </w:rPr>
          <w:t>restoration of a west side tenant</w:t>
        </w:r>
      </w:hyperlink>
      <w:r w:rsidRPr="0099098A">
        <w:rPr>
          <w:rFonts w:asciiTheme="minorHAnsi" w:hAnsiTheme="minorHAnsi"/>
          <w:sz w:val="22"/>
          <w:szCs w:val="22"/>
        </w:rPr>
        <w:t xml:space="preserve"> to his now</w:t>
      </w:r>
      <w:r w:rsidR="00FB7036">
        <w:rPr>
          <w:rFonts w:asciiTheme="minorHAnsi" w:hAnsiTheme="minorHAnsi"/>
          <w:sz w:val="22"/>
          <w:szCs w:val="22"/>
        </w:rPr>
        <w:t>-</w:t>
      </w:r>
      <w:r w:rsidRPr="0099098A">
        <w:rPr>
          <w:rFonts w:asciiTheme="minorHAnsi" w:hAnsiTheme="minorHAnsi"/>
          <w:sz w:val="22"/>
          <w:szCs w:val="22"/>
        </w:rPr>
        <w:t xml:space="preserve">occupied apartment five years after his landlord evicted him on a bogus subletting charge. </w:t>
      </w:r>
      <w:r w:rsidR="00FB7036">
        <w:rPr>
          <w:rFonts w:asciiTheme="minorHAnsi" w:hAnsiTheme="minorHAnsi"/>
          <w:sz w:val="22"/>
          <w:szCs w:val="22"/>
        </w:rPr>
        <w:t>Whi</w:t>
      </w:r>
      <w:bookmarkStart w:id="0" w:name="_GoBack"/>
      <w:bookmarkEnd w:id="0"/>
      <w:r w:rsidR="00FB7036">
        <w:rPr>
          <w:rFonts w:asciiTheme="minorHAnsi" w:hAnsiTheme="minorHAnsi"/>
          <w:sz w:val="22"/>
          <w:szCs w:val="22"/>
        </w:rPr>
        <w:t>le incarcerated,</w:t>
      </w:r>
      <w:r w:rsidRPr="0099098A">
        <w:rPr>
          <w:rFonts w:asciiTheme="minorHAnsi" w:hAnsiTheme="minorHAnsi"/>
          <w:sz w:val="22"/>
          <w:szCs w:val="22"/>
        </w:rPr>
        <w:t xml:space="preserve"> he tried to appear to defend himself </w:t>
      </w:r>
      <w:r w:rsidR="00FB7036">
        <w:rPr>
          <w:rFonts w:asciiTheme="minorHAnsi" w:hAnsiTheme="minorHAnsi"/>
          <w:sz w:val="22"/>
          <w:szCs w:val="22"/>
        </w:rPr>
        <w:t>but</w:t>
      </w:r>
      <w:r w:rsidRPr="0099098A">
        <w:rPr>
          <w:rFonts w:asciiTheme="minorHAnsi" w:hAnsiTheme="minorHAnsi"/>
          <w:sz w:val="22"/>
          <w:szCs w:val="22"/>
        </w:rPr>
        <w:t xml:space="preserve"> the Housing Court judge defaulted him. </w:t>
      </w:r>
      <w:r w:rsidR="00FB7036">
        <w:rPr>
          <w:rFonts w:asciiTheme="minorHAnsi" w:hAnsiTheme="minorHAnsi"/>
          <w:sz w:val="22"/>
          <w:szCs w:val="22"/>
        </w:rPr>
        <w:t xml:space="preserve">Upon his release in 2012, after which </w:t>
      </w:r>
      <w:r w:rsidRPr="0099098A">
        <w:rPr>
          <w:rFonts w:asciiTheme="minorHAnsi" w:hAnsiTheme="minorHAnsi"/>
          <w:sz w:val="22"/>
          <w:szCs w:val="22"/>
        </w:rPr>
        <w:t>he filed an order to show cause</w:t>
      </w:r>
      <w:r w:rsidR="00FB7036">
        <w:rPr>
          <w:rFonts w:asciiTheme="minorHAnsi" w:hAnsiTheme="minorHAnsi"/>
          <w:sz w:val="22"/>
          <w:szCs w:val="22"/>
        </w:rPr>
        <w:t>,</w:t>
      </w:r>
      <w:r w:rsidRPr="0099098A">
        <w:rPr>
          <w:rFonts w:asciiTheme="minorHAnsi" w:hAnsiTheme="minorHAnsi"/>
          <w:sz w:val="22"/>
          <w:szCs w:val="22"/>
        </w:rPr>
        <w:t xml:space="preserve"> MFY took the case, vacating the default judgment in 2013 and the </w:t>
      </w:r>
      <w:r w:rsidR="00FB7036">
        <w:rPr>
          <w:rFonts w:asciiTheme="minorHAnsi" w:hAnsiTheme="minorHAnsi"/>
          <w:sz w:val="22"/>
          <w:szCs w:val="22"/>
        </w:rPr>
        <w:t>winning an appeal in 2014.  I</w:t>
      </w:r>
      <w:r w:rsidRPr="0099098A">
        <w:rPr>
          <w:rFonts w:asciiTheme="minorHAnsi" w:hAnsiTheme="minorHAnsi"/>
          <w:sz w:val="22"/>
          <w:szCs w:val="22"/>
        </w:rPr>
        <w:t xml:space="preserve">n 2015 </w:t>
      </w:r>
      <w:r w:rsidR="00FB7036">
        <w:rPr>
          <w:rFonts w:asciiTheme="minorHAnsi" w:hAnsiTheme="minorHAnsi"/>
          <w:sz w:val="22"/>
          <w:szCs w:val="22"/>
        </w:rPr>
        <w:t>MFY prevailed on</w:t>
      </w:r>
      <w:r w:rsidRPr="0099098A">
        <w:rPr>
          <w:rFonts w:asciiTheme="minorHAnsi" w:hAnsiTheme="minorHAnsi"/>
          <w:sz w:val="22"/>
          <w:szCs w:val="22"/>
        </w:rPr>
        <w:t xml:space="preserve"> a motion to dismiss the eviction case and restore the tenant to his apartment. Read the decision </w:t>
      </w:r>
      <w:hyperlink r:id="rId6" w:tgtFrame="_blank" w:history="1">
        <w:r w:rsidRPr="0099098A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99098A">
        <w:rPr>
          <w:rFonts w:asciiTheme="minorHAnsi" w:hAnsiTheme="minorHAnsi"/>
          <w:sz w:val="22"/>
          <w:szCs w:val="22"/>
        </w:rPr>
        <w:t> .</w:t>
      </w:r>
    </w:p>
    <w:p w:rsidR="0099098A" w:rsidRPr="0099098A" w:rsidRDefault="0099098A" w:rsidP="006E1049">
      <w:pPr>
        <w:pStyle w:val="owapara"/>
        <w:rPr>
          <w:rFonts w:asciiTheme="minorHAnsi" w:hAnsiTheme="minorHAnsi"/>
          <w:color w:val="000000"/>
          <w:sz w:val="22"/>
          <w:szCs w:val="22"/>
        </w:rPr>
      </w:pPr>
    </w:p>
    <w:p w:rsidR="006E1049" w:rsidRPr="0099098A" w:rsidRDefault="00A47BCF" w:rsidP="006E1049">
      <w:pPr>
        <w:rPr>
          <w:rFonts w:ascii="Eras Demi ITC" w:hAnsi="Eras Demi ITC"/>
          <w:color w:val="C00000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41D3F2" wp14:editId="6C6CAC8D">
            <wp:simplePos x="0" y="0"/>
            <wp:positionH relativeFrom="column">
              <wp:posOffset>4705350</wp:posOffset>
            </wp:positionH>
            <wp:positionV relativeFrom="paragraph">
              <wp:posOffset>6985</wp:posOffset>
            </wp:positionV>
            <wp:extent cx="962025" cy="134683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u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8A" w:rsidRPr="0099098A">
        <w:rPr>
          <w:rFonts w:ascii="Eras Demi ITC" w:hAnsi="Eras Demi ITC"/>
          <w:color w:val="C00000"/>
          <w:sz w:val="28"/>
          <w:szCs w:val="28"/>
        </w:rPr>
        <w:t xml:space="preserve">NYS Court of Appeals </w:t>
      </w:r>
      <w:r w:rsidR="00FB7036">
        <w:rPr>
          <w:rFonts w:ascii="Eras Demi ITC" w:hAnsi="Eras Demi ITC"/>
          <w:color w:val="C00000"/>
          <w:sz w:val="28"/>
          <w:szCs w:val="28"/>
        </w:rPr>
        <w:t>Issues Decision in Accordance with</w:t>
      </w:r>
      <w:r w:rsidR="0099098A" w:rsidRPr="0099098A">
        <w:rPr>
          <w:rFonts w:ascii="Eras Demi ITC" w:hAnsi="Eras Demi ITC"/>
          <w:color w:val="C00000"/>
          <w:sz w:val="28"/>
          <w:szCs w:val="28"/>
        </w:rPr>
        <w:t xml:space="preserve"> MFY Amicus Brief on Curbing Abusive Debt Collectors</w:t>
      </w:r>
    </w:p>
    <w:p w:rsidR="006E1049" w:rsidRPr="006E1049" w:rsidRDefault="006E1049" w:rsidP="006E1049">
      <w:pPr>
        <w:pStyle w:val="owapara"/>
        <w:rPr>
          <w:rFonts w:ascii="Calibri" w:hAnsi="Calibri"/>
          <w:color w:val="000000"/>
          <w:sz w:val="12"/>
        </w:rPr>
      </w:pPr>
    </w:p>
    <w:p w:rsidR="0099098A" w:rsidRPr="0099098A" w:rsidRDefault="0099098A" w:rsidP="006C64C8">
      <w:pPr>
        <w:rPr>
          <w:rFonts w:asciiTheme="minorHAnsi" w:hAnsiTheme="minorHAnsi"/>
          <w:color w:val="C00000"/>
          <w:sz w:val="22"/>
          <w:szCs w:val="22"/>
        </w:rPr>
      </w:pPr>
      <w:r w:rsidRPr="0099098A">
        <w:rPr>
          <w:rFonts w:asciiTheme="minorHAnsi" w:hAnsiTheme="minorHAnsi"/>
          <w:sz w:val="22"/>
          <w:szCs w:val="22"/>
        </w:rPr>
        <w:t xml:space="preserve">In 2013 MFY submitted an </w:t>
      </w:r>
      <w:hyperlink r:id="rId8" w:tgtFrame="_blank" w:history="1">
        <w:r w:rsidRPr="0099098A">
          <w:rPr>
            <w:rStyle w:val="Hyperlink"/>
            <w:rFonts w:asciiTheme="minorHAnsi" w:hAnsiTheme="minorHAnsi"/>
            <w:sz w:val="22"/>
            <w:szCs w:val="22"/>
          </w:rPr>
          <w:t>amicus brief</w:t>
        </w:r>
      </w:hyperlink>
      <w:r w:rsidRPr="0099098A">
        <w:rPr>
          <w:rFonts w:asciiTheme="minorHAnsi" w:hAnsiTheme="minorHAnsi"/>
          <w:sz w:val="22"/>
          <w:szCs w:val="22"/>
        </w:rPr>
        <w:t xml:space="preserve"> on behalf of 17 consumer advocates and organizations arguing that the city's law requiring debt collectors to be licensed by the Department Consumer Affa</w:t>
      </w:r>
      <w:r>
        <w:rPr>
          <w:rFonts w:asciiTheme="minorHAnsi" w:hAnsiTheme="minorHAnsi"/>
          <w:sz w:val="22"/>
          <w:szCs w:val="22"/>
        </w:rPr>
        <w:t>i</w:t>
      </w:r>
      <w:r w:rsidRPr="0099098A">
        <w:rPr>
          <w:rFonts w:asciiTheme="minorHAnsi" w:hAnsiTheme="minorHAnsi"/>
          <w:sz w:val="22"/>
          <w:szCs w:val="22"/>
        </w:rPr>
        <w:t xml:space="preserve">rs should apply to attorneys as well as non-attorneys.  The </w:t>
      </w:r>
      <w:hyperlink r:id="rId9" w:tgtFrame="_blank" w:history="1">
        <w:r w:rsidRPr="0099098A">
          <w:rPr>
            <w:rStyle w:val="Hyperlink"/>
            <w:rFonts w:asciiTheme="minorHAnsi" w:hAnsiTheme="minorHAnsi"/>
            <w:sz w:val="22"/>
            <w:szCs w:val="22"/>
          </w:rPr>
          <w:t>Court agreed</w:t>
        </w:r>
      </w:hyperlink>
      <w:r w:rsidR="00A8316D">
        <w:rPr>
          <w:rFonts w:asciiTheme="minorHAnsi" w:hAnsiTheme="minorHAnsi"/>
          <w:sz w:val="22"/>
          <w:szCs w:val="22"/>
        </w:rPr>
        <w:t>,</w:t>
      </w:r>
      <w:r w:rsidRPr="0099098A">
        <w:rPr>
          <w:rFonts w:asciiTheme="minorHAnsi" w:hAnsiTheme="minorHAnsi"/>
          <w:sz w:val="22"/>
          <w:szCs w:val="22"/>
        </w:rPr>
        <w:t xml:space="preserve"> finding that there was no conflict between the City's law and the State's authority to regulate attorneys.</w:t>
      </w:r>
    </w:p>
    <w:p w:rsidR="0099098A" w:rsidRPr="0099098A" w:rsidRDefault="0099098A" w:rsidP="006C64C8">
      <w:pPr>
        <w:rPr>
          <w:rFonts w:asciiTheme="minorHAnsi" w:hAnsiTheme="minorHAnsi"/>
          <w:color w:val="C00000"/>
          <w:sz w:val="22"/>
          <w:szCs w:val="22"/>
        </w:rPr>
      </w:pPr>
    </w:p>
    <w:p w:rsidR="0099098A" w:rsidRDefault="0099098A" w:rsidP="00966B6B">
      <w:pPr>
        <w:rPr>
          <w:rFonts w:ascii="Eras Demi ITC" w:hAnsi="Eras Demi ITC"/>
          <w:color w:val="C00000"/>
          <w:sz w:val="32"/>
          <w:szCs w:val="72"/>
        </w:rPr>
      </w:pPr>
    </w:p>
    <w:p w:rsidR="009E6C01" w:rsidRDefault="009E6C01" w:rsidP="00966B6B">
      <w:pPr>
        <w:rPr>
          <w:rFonts w:ascii="Eras Demi ITC" w:hAnsi="Eras Demi ITC"/>
          <w:color w:val="C00000"/>
          <w:sz w:val="32"/>
          <w:szCs w:val="72"/>
        </w:rPr>
      </w:pPr>
      <w:r>
        <w:rPr>
          <w:rFonts w:ascii="Eras Demi ITC" w:hAnsi="Eras Demi ITC"/>
          <w:color w:val="C00000"/>
          <w:sz w:val="32"/>
          <w:szCs w:val="72"/>
        </w:rPr>
        <w:t>MFY in the News . . .</w:t>
      </w:r>
    </w:p>
    <w:p w:rsidR="0099098A" w:rsidRDefault="0099098A" w:rsidP="00966B6B"/>
    <w:p w:rsidR="00A47BCF" w:rsidRPr="00F717F6" w:rsidRDefault="00A47BCF" w:rsidP="00966B6B">
      <w:pPr>
        <w:rPr>
          <w:rFonts w:asciiTheme="minorHAnsi" w:hAnsiTheme="minorHAnsi"/>
          <w:sz w:val="1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 &amp; State examines the long-term issues surrounding three-quarter houses and quotes MFY Attorney Tanya Kessler:  </w:t>
      </w:r>
      <w:hyperlink r:id="rId10" w:anchor=".VaUL5vnw-6W" w:tgtFrame="_blank" w:history="1">
        <w:r w:rsidR="0099098A" w:rsidRPr="00A47BCF">
          <w:rPr>
            <w:rStyle w:val="Hyperlink"/>
            <w:rFonts w:asciiTheme="minorHAnsi" w:hAnsiTheme="minorHAnsi"/>
            <w:sz w:val="22"/>
            <w:szCs w:val="22"/>
          </w:rPr>
          <w:t>Long-Term Solutions to Three-Quarter Houses</w:t>
        </w:r>
      </w:hyperlink>
      <w:r w:rsidR="0099098A" w:rsidRPr="00A47BCF">
        <w:rPr>
          <w:rFonts w:asciiTheme="minorHAnsi" w:hAnsiTheme="minorHAnsi"/>
          <w:sz w:val="22"/>
          <w:szCs w:val="22"/>
        </w:rPr>
        <w:br/>
      </w:r>
    </w:p>
    <w:p w:rsidR="00F717F6" w:rsidRDefault="00F717F6" w:rsidP="00966B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MFY continues its advocacy for elderly residents: </w:t>
      </w:r>
      <w:hyperlink r:id="rId11" w:tgtFrame="_blank" w:history="1">
        <w:r w:rsidR="0099098A" w:rsidRPr="00A47BCF">
          <w:rPr>
            <w:rStyle w:val="Hyperlink"/>
            <w:rFonts w:asciiTheme="minorHAnsi" w:hAnsiTheme="minorHAnsi"/>
            <w:sz w:val="22"/>
            <w:szCs w:val="22"/>
          </w:rPr>
          <w:t>Judge Rules Seniors in Prospect Park Residence Can Have Their Day in Court</w:t>
        </w:r>
      </w:hyperlink>
    </w:p>
    <w:p w:rsidR="00F717F6" w:rsidRPr="00F717F6" w:rsidRDefault="00F717F6" w:rsidP="00966B6B">
      <w:pPr>
        <w:rPr>
          <w:rFonts w:asciiTheme="minorHAnsi" w:hAnsiTheme="minorHAnsi"/>
          <w:sz w:val="12"/>
          <w:szCs w:val="22"/>
        </w:rPr>
      </w:pPr>
    </w:p>
    <w:p w:rsidR="00F717F6" w:rsidRPr="00934774" w:rsidRDefault="00F717F6" w:rsidP="00966B6B">
      <w:pPr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Hundreds of three-quarter house residents may lose their housing: </w:t>
      </w:r>
      <w:hyperlink r:id="rId12" w:tgtFrame="_blank" w:history="1">
        <w:r w:rsidR="0099098A" w:rsidRPr="00A47BCF">
          <w:rPr>
            <w:rStyle w:val="Hyperlink"/>
            <w:rFonts w:asciiTheme="minorHAnsi" w:hAnsiTheme="minorHAnsi"/>
            <w:sz w:val="22"/>
            <w:szCs w:val="22"/>
          </w:rPr>
          <w:t>Major Chain of NYC Three-Quarter Houses in Financial Ruin</w:t>
        </w:r>
      </w:hyperlink>
      <w:r w:rsidR="0099098A" w:rsidRPr="00A47BCF">
        <w:rPr>
          <w:rFonts w:asciiTheme="minorHAnsi" w:hAnsiTheme="minorHAnsi"/>
          <w:sz w:val="22"/>
          <w:szCs w:val="22"/>
        </w:rPr>
        <w:br/>
      </w:r>
    </w:p>
    <w:p w:rsidR="002B49A9" w:rsidRPr="00A47BCF" w:rsidRDefault="00F717F6" w:rsidP="00966B6B">
      <w:pPr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 Council funding helps MFY:  </w:t>
      </w:r>
      <w:hyperlink r:id="rId13" w:tgtFrame="_blank" w:history="1">
        <w:r w:rsidR="0099098A" w:rsidRPr="00A47BCF">
          <w:rPr>
            <w:rStyle w:val="Hyperlink"/>
            <w:rFonts w:asciiTheme="minorHAnsi" w:hAnsiTheme="minorHAnsi"/>
            <w:sz w:val="22"/>
            <w:szCs w:val="22"/>
          </w:rPr>
          <w:t>$40K in Council Funding Earmarked to Prevent Tenant Harassment on Upper West Side</w:t>
        </w:r>
      </w:hyperlink>
    </w:p>
    <w:sectPr w:rsidR="002B49A9" w:rsidRPr="00A47BCF" w:rsidSect="008D4D1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B"/>
    <w:rsid w:val="0002766A"/>
    <w:rsid w:val="00057E94"/>
    <w:rsid w:val="00081D25"/>
    <w:rsid w:val="000A5E5D"/>
    <w:rsid w:val="000B27C8"/>
    <w:rsid w:val="000C7E98"/>
    <w:rsid w:val="000D585D"/>
    <w:rsid w:val="001314E9"/>
    <w:rsid w:val="001C09AE"/>
    <w:rsid w:val="001F079C"/>
    <w:rsid w:val="00215614"/>
    <w:rsid w:val="00227D56"/>
    <w:rsid w:val="00257010"/>
    <w:rsid w:val="002B49A9"/>
    <w:rsid w:val="0030482C"/>
    <w:rsid w:val="00370907"/>
    <w:rsid w:val="003946A8"/>
    <w:rsid w:val="003B27E4"/>
    <w:rsid w:val="00431BF7"/>
    <w:rsid w:val="004738E1"/>
    <w:rsid w:val="004869B5"/>
    <w:rsid w:val="004960D8"/>
    <w:rsid w:val="005109C9"/>
    <w:rsid w:val="005371F4"/>
    <w:rsid w:val="006B62EE"/>
    <w:rsid w:val="006C64C8"/>
    <w:rsid w:val="006E1049"/>
    <w:rsid w:val="00710AA8"/>
    <w:rsid w:val="00722D51"/>
    <w:rsid w:val="007273F2"/>
    <w:rsid w:val="007530C8"/>
    <w:rsid w:val="00783AD2"/>
    <w:rsid w:val="007C52B3"/>
    <w:rsid w:val="007F49B1"/>
    <w:rsid w:val="008255CC"/>
    <w:rsid w:val="008548ED"/>
    <w:rsid w:val="008C2770"/>
    <w:rsid w:val="008D4D12"/>
    <w:rsid w:val="00934774"/>
    <w:rsid w:val="00964064"/>
    <w:rsid w:val="00966B6B"/>
    <w:rsid w:val="00984209"/>
    <w:rsid w:val="0099098A"/>
    <w:rsid w:val="0099218F"/>
    <w:rsid w:val="009A738C"/>
    <w:rsid w:val="009E6C01"/>
    <w:rsid w:val="00A05B22"/>
    <w:rsid w:val="00A346A8"/>
    <w:rsid w:val="00A47BCF"/>
    <w:rsid w:val="00A53392"/>
    <w:rsid w:val="00A8316D"/>
    <w:rsid w:val="00A90EFE"/>
    <w:rsid w:val="00AA7C4A"/>
    <w:rsid w:val="00B0676F"/>
    <w:rsid w:val="00B66132"/>
    <w:rsid w:val="00B81615"/>
    <w:rsid w:val="00C246CB"/>
    <w:rsid w:val="00C46E96"/>
    <w:rsid w:val="00CD2F46"/>
    <w:rsid w:val="00CE226C"/>
    <w:rsid w:val="00D158B4"/>
    <w:rsid w:val="00D67B4F"/>
    <w:rsid w:val="00D82441"/>
    <w:rsid w:val="00DC3C62"/>
    <w:rsid w:val="00DF3231"/>
    <w:rsid w:val="00DF5811"/>
    <w:rsid w:val="00E113A2"/>
    <w:rsid w:val="00E40273"/>
    <w:rsid w:val="00E61FE5"/>
    <w:rsid w:val="00E733C1"/>
    <w:rsid w:val="00F717F6"/>
    <w:rsid w:val="00F763F3"/>
    <w:rsid w:val="00F97908"/>
    <w:rsid w:val="00FA02D6"/>
    <w:rsid w:val="00FB703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7F10A-D64E-43AE-BBB5-5AFFFC3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2"/>
  </w:style>
  <w:style w:type="paragraph" w:styleId="Heading1">
    <w:name w:val="heading 1"/>
    <w:basedOn w:val="Normal"/>
    <w:link w:val="Heading1Char"/>
    <w:uiPriority w:val="9"/>
    <w:qFormat/>
    <w:rsid w:val="003048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4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4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01C2"/>
  </w:style>
  <w:style w:type="paragraph" w:customStyle="1" w:styleId="owapara">
    <w:name w:val="owapara"/>
    <w:basedOn w:val="Normal"/>
    <w:rsid w:val="006E10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y.org/wp-content/uploads/BermanvCityofNewYork-amic-BrombergandConsumerAdvocates-amicbrf.pdf" TargetMode="External"/><Relationship Id="rId13" Type="http://schemas.openxmlformats.org/officeDocument/2006/relationships/hyperlink" Target="http://www.dnainfo.com/new-york/20150701/upper-west-side/40k-council-funds-earmarked-prevent-tenant-harassment-on-uw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ydailynews.com/new-york/major-chain-nyc-three-quarter-houses-financial-ruin-article-1.23048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y.org/wp-content/uploads/DowningVThompson071715saxe.pdf" TargetMode="External"/><Relationship Id="rId11" Type="http://schemas.openxmlformats.org/officeDocument/2006/relationships/hyperlink" Target="http://www.brooklyneagle.com/articles/2015/7/8/brooklyn-judge-rules-seniors-prospect-park-residence-can-have-their-day-court" TargetMode="External"/><Relationship Id="rId5" Type="http://schemas.openxmlformats.org/officeDocument/2006/relationships/hyperlink" Target="http://www.newyorklawjournal.com/home/id=1202732333257/Former-Tenant-Wins-Restoration-to-NowOccupied-Apartment?mcode=1202617075062&amp;curindex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ityandstateny.com/2/politics/new-york-city/long-term-solutions-to-three-quarter-house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fy.org/wp-content/uploads/Berman-v-NYC-COA-Decis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7</cp:revision>
  <cp:lastPrinted>2015-04-29T20:53:00Z</cp:lastPrinted>
  <dcterms:created xsi:type="dcterms:W3CDTF">2015-07-31T16:58:00Z</dcterms:created>
  <dcterms:modified xsi:type="dcterms:W3CDTF">2015-08-03T19:45:00Z</dcterms:modified>
</cp:coreProperties>
</file>