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12B23C0B" w:rsidR="009C0114" w:rsidRDefault="00677913" w:rsidP="009C0114">
      <w:r>
        <w:rPr>
          <w:noProof/>
        </w:rPr>
        <w:drawing>
          <wp:anchor distT="0" distB="0" distL="114300" distR="114300" simplePos="0" relativeHeight="251660288" behindDoc="0" locked="0" layoutInCell="1" allowOverlap="1" wp14:anchorId="1A33A8D4" wp14:editId="2299E8D8">
            <wp:simplePos x="0" y="0"/>
            <wp:positionH relativeFrom="column">
              <wp:posOffset>-3810</wp:posOffset>
            </wp:positionH>
            <wp:positionV relativeFrom="paragraph">
              <wp:posOffset>0</wp:posOffset>
            </wp:positionV>
            <wp:extent cx="233172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J-tagline-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085850"/>
                    </a:xfrm>
                    <a:prstGeom prst="rect">
                      <a:avLst/>
                    </a:prstGeom>
                  </pic:spPr>
                </pic:pic>
              </a:graphicData>
            </a:graphic>
            <wp14:sizeRelH relativeFrom="page">
              <wp14:pctWidth>0</wp14:pctWidth>
            </wp14:sizeRelH>
            <wp14:sizeRelV relativeFrom="page">
              <wp14:pctHeight>0</wp14:pctHeight>
            </wp14:sizeRelV>
          </wp:anchor>
        </w:drawing>
      </w:r>
    </w:p>
    <w:p w14:paraId="720A6A86" w14:textId="0F3DDEB1" w:rsidR="00BE4416" w:rsidRPr="00677913" w:rsidRDefault="00677913" w:rsidP="00BE4416">
      <w:pPr>
        <w:jc w:val="center"/>
        <w:rPr>
          <w:rFonts w:ascii="Eras Demi ITC" w:hAnsi="Eras Demi ITC"/>
          <w:color w:val="2F5496" w:themeColor="accent5" w:themeShade="BF"/>
          <w:sz w:val="72"/>
          <w:szCs w:val="72"/>
        </w:rPr>
      </w:pPr>
      <w:r w:rsidRPr="00677913">
        <w:rPr>
          <w:rFonts w:ascii="Eras Demi ITC" w:hAnsi="Eras Demi ITC"/>
          <w:color w:val="2F5496" w:themeColor="accent5" w:themeShade="BF"/>
          <w:sz w:val="72"/>
          <w:szCs w:val="72"/>
        </w:rPr>
        <w:t>U</w:t>
      </w:r>
      <w:r w:rsidR="00BE4416" w:rsidRPr="00677913">
        <w:rPr>
          <w:rFonts w:ascii="Eras Demi ITC" w:hAnsi="Eras Demi ITC"/>
          <w:color w:val="2F5496" w:themeColor="accent5" w:themeShade="BF"/>
          <w:sz w:val="72"/>
          <w:szCs w:val="72"/>
        </w:rPr>
        <w:t>pdate</w:t>
      </w:r>
      <w:bookmarkStart w:id="0" w:name="_GoBack"/>
      <w:bookmarkEnd w:id="0"/>
    </w:p>
    <w:p w14:paraId="14A57D1C" w14:textId="35553608" w:rsidR="00BE4416" w:rsidRPr="00677913" w:rsidRDefault="00677913" w:rsidP="00BE4416">
      <w:pPr>
        <w:jc w:val="center"/>
        <w:rPr>
          <w:rFonts w:ascii="Eras Light ITC" w:hAnsi="Eras Light ITC"/>
          <w:color w:val="2F5496" w:themeColor="accent5" w:themeShade="BF"/>
          <w:sz w:val="36"/>
          <w:szCs w:val="72"/>
        </w:rPr>
      </w:pPr>
      <w:r w:rsidRPr="00677913">
        <w:rPr>
          <w:rFonts w:ascii="Eras Light ITC" w:hAnsi="Eras Light ITC"/>
          <w:color w:val="2F5496" w:themeColor="accent5" w:themeShade="BF"/>
          <w:sz w:val="36"/>
          <w:szCs w:val="72"/>
        </w:rPr>
        <w:t>Ju</w:t>
      </w:r>
      <w:r w:rsidR="00D72D31">
        <w:rPr>
          <w:rFonts w:ascii="Eras Light ITC" w:hAnsi="Eras Light ITC"/>
          <w:color w:val="2F5496" w:themeColor="accent5" w:themeShade="BF"/>
          <w:sz w:val="36"/>
          <w:szCs w:val="72"/>
        </w:rPr>
        <w:t>ly</w:t>
      </w:r>
      <w:r w:rsidRPr="00677913">
        <w:rPr>
          <w:rFonts w:ascii="Eras Light ITC" w:hAnsi="Eras Light ITC"/>
          <w:color w:val="2F5496" w:themeColor="accent5" w:themeShade="BF"/>
          <w:sz w:val="36"/>
          <w:szCs w:val="72"/>
        </w:rPr>
        <w:t xml:space="preserve"> </w:t>
      </w:r>
      <w:r w:rsidR="00D22CB5" w:rsidRPr="00677913">
        <w:rPr>
          <w:rFonts w:ascii="Eras Light ITC" w:hAnsi="Eras Light ITC"/>
          <w:color w:val="2F5496" w:themeColor="accent5" w:themeShade="BF"/>
          <w:sz w:val="36"/>
          <w:szCs w:val="72"/>
        </w:rPr>
        <w:t>2017</w:t>
      </w:r>
    </w:p>
    <w:p w14:paraId="2BBD5A57" w14:textId="77777777" w:rsidR="00BE4416" w:rsidRDefault="00BE4416" w:rsidP="009C0114"/>
    <w:p w14:paraId="0F4A6228" w14:textId="77777777" w:rsidR="00BE4416" w:rsidRPr="00563C54" w:rsidRDefault="00BE4416" w:rsidP="009C0114">
      <w:pPr>
        <w:rPr>
          <w:color w:val="7030A0"/>
        </w:rPr>
      </w:pPr>
    </w:p>
    <w:p w14:paraId="33A4547A" w14:textId="77777777" w:rsidR="003D31AF" w:rsidRDefault="003D31AF" w:rsidP="00110258">
      <w:pPr>
        <w:rPr>
          <w:rFonts w:ascii="Eras Demi ITC" w:hAnsi="Eras Demi ITC"/>
          <w:color w:val="C00000"/>
          <w:sz w:val="12"/>
          <w:szCs w:val="26"/>
        </w:rPr>
      </w:pPr>
    </w:p>
    <w:p w14:paraId="42498BC9" w14:textId="77777777" w:rsidR="00681003" w:rsidRPr="00CB13BA" w:rsidRDefault="00681003" w:rsidP="00681003">
      <w:pPr>
        <w:rPr>
          <w:rFonts w:asciiTheme="minorHAnsi" w:eastAsia="Times New Roman" w:hAnsiTheme="minorHAnsi"/>
        </w:rPr>
      </w:pPr>
    </w:p>
    <w:p w14:paraId="024A3B08" w14:textId="16300C03" w:rsidR="00DC5E28" w:rsidRPr="0029661C" w:rsidRDefault="00D72D31" w:rsidP="00DC5E28">
      <w:pPr>
        <w:rPr>
          <w:rFonts w:ascii="Eras Demi ITC" w:hAnsi="Eras Demi ITC"/>
          <w:color w:val="2F5496" w:themeColor="accent5" w:themeShade="BF"/>
          <w:sz w:val="28"/>
          <w:szCs w:val="28"/>
        </w:rPr>
      </w:pPr>
      <w:r>
        <w:rPr>
          <w:rFonts w:ascii="Eras Demi ITC" w:hAnsi="Eras Demi ITC"/>
          <w:color w:val="2F5496" w:themeColor="accent5" w:themeShade="BF"/>
          <w:sz w:val="28"/>
          <w:szCs w:val="28"/>
        </w:rPr>
        <w:t>NYC Tenants Will Now Have Fighting Chance in Housing Court</w:t>
      </w:r>
    </w:p>
    <w:p w14:paraId="2710587D" w14:textId="6E6F8565" w:rsidR="004D18FF" w:rsidRPr="004D18FF" w:rsidRDefault="00B64F96" w:rsidP="00DC5E28">
      <w:pPr>
        <w:rPr>
          <w:sz w:val="20"/>
        </w:rPr>
      </w:pPr>
      <w:r>
        <w:rPr>
          <w:noProof/>
        </w:rPr>
        <w:drawing>
          <wp:anchor distT="0" distB="0" distL="114300" distR="114300" simplePos="0" relativeHeight="251663360" behindDoc="0" locked="0" layoutInCell="1" allowOverlap="1" wp14:anchorId="3F53029C" wp14:editId="38C0C10F">
            <wp:simplePos x="0" y="0"/>
            <wp:positionH relativeFrom="margin">
              <wp:align>left</wp:align>
            </wp:positionH>
            <wp:positionV relativeFrom="paragraph">
              <wp:posOffset>156210</wp:posOffset>
            </wp:positionV>
            <wp:extent cx="2184400" cy="16383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C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4400" cy="1638300"/>
                    </a:xfrm>
                    <a:prstGeom prst="rect">
                      <a:avLst/>
                    </a:prstGeom>
                  </pic:spPr>
                </pic:pic>
              </a:graphicData>
            </a:graphic>
            <wp14:sizeRelH relativeFrom="page">
              <wp14:pctWidth>0</wp14:pctWidth>
            </wp14:sizeRelH>
            <wp14:sizeRelV relativeFrom="page">
              <wp14:pctHeight>0</wp14:pctHeight>
            </wp14:sizeRelV>
          </wp:anchor>
        </w:drawing>
      </w:r>
    </w:p>
    <w:p w14:paraId="32B40B2F" w14:textId="0A960A21" w:rsidR="00656F8E" w:rsidRDefault="00D72D31">
      <w:pPr>
        <w:rPr>
          <w:rFonts w:asciiTheme="minorHAnsi" w:eastAsia="Times New Roman" w:hAnsiTheme="minorHAnsi"/>
        </w:rPr>
      </w:pPr>
      <w:r>
        <w:t xml:space="preserve">After years of advocacy by Mobilization for Justice and scores of other organizations, the City Council voted on July 20, 2017 to establish a </w:t>
      </w:r>
      <w:hyperlink r:id="rId7" w:history="1">
        <w:r w:rsidR="009C0901">
          <w:rPr>
            <w:rStyle w:val="Hyperlink"/>
          </w:rPr>
          <w:t xml:space="preserve">universal access to </w:t>
        </w:r>
        <w:r w:rsidRPr="00B64F96">
          <w:rPr>
            <w:rStyle w:val="Hyperlink"/>
          </w:rPr>
          <w:t>counsel i</w:t>
        </w:r>
        <w:r w:rsidRPr="00B64F96">
          <w:rPr>
            <w:rStyle w:val="Hyperlink"/>
          </w:rPr>
          <w:t>n</w:t>
        </w:r>
        <w:r w:rsidRPr="00B64F96">
          <w:rPr>
            <w:rStyle w:val="Hyperlink"/>
          </w:rPr>
          <w:t xml:space="preserve"> housing court</w:t>
        </w:r>
      </w:hyperlink>
      <w:r>
        <w:t xml:space="preserve"> for tenants facing eviction. Increased city funding for legal assistance for tenants over the past two years has already had a profound impact. Evictions are down 24%, and the proportion of tenants represented went from a mere 1% prior to the increase to 27%. The new legislation</w:t>
      </w:r>
      <w:r w:rsidR="009C0901">
        <w:t>, to be phased in over five years,</w:t>
      </w:r>
      <w:r>
        <w:t xml:space="preserve"> will </w:t>
      </w:r>
      <w:r w:rsidR="009C0901">
        <w:t xml:space="preserve">eventually </w:t>
      </w:r>
      <w:r>
        <w:t xml:space="preserve">make legal counsel available to 100% of low-income tenants who face eviction. </w:t>
      </w:r>
      <w:r w:rsidR="00B64F96">
        <w:t>The case stories below illustrate how important it is for tenants to have lawyers in housing court.</w:t>
      </w:r>
    </w:p>
    <w:p w14:paraId="401DDD78" w14:textId="77777777" w:rsidR="00656F8E" w:rsidRDefault="00656F8E">
      <w:pPr>
        <w:rPr>
          <w:rFonts w:asciiTheme="minorHAnsi" w:eastAsia="Times New Roman" w:hAnsiTheme="minorHAnsi"/>
        </w:rPr>
      </w:pPr>
    </w:p>
    <w:p w14:paraId="3ECA72F5" w14:textId="5A790F0B" w:rsidR="00681003" w:rsidRPr="0029661C" w:rsidRDefault="00B64F96" w:rsidP="00681003">
      <w:pPr>
        <w:rPr>
          <w:rFonts w:ascii="Eras Demi ITC" w:hAnsi="Eras Demi ITC"/>
          <w:color w:val="2F5496" w:themeColor="accent5" w:themeShade="BF"/>
          <w:sz w:val="28"/>
          <w:szCs w:val="28"/>
        </w:rPr>
      </w:pPr>
      <w:r>
        <w:rPr>
          <w:rFonts w:ascii="Eras Demi ITC" w:hAnsi="Eras Demi ITC"/>
          <w:color w:val="2F5496" w:themeColor="accent5" w:themeShade="BF"/>
          <w:sz w:val="28"/>
          <w:szCs w:val="28"/>
        </w:rPr>
        <w:t>Mobilization for Justice Saves 30-Year Tenancy of Elderly Woman</w:t>
      </w:r>
    </w:p>
    <w:p w14:paraId="06EE4ACB" w14:textId="77777777" w:rsidR="004D18FF" w:rsidRPr="001E243D" w:rsidRDefault="004D18FF" w:rsidP="00681003">
      <w:pPr>
        <w:rPr>
          <w:rFonts w:ascii="Eras Demi ITC" w:hAnsi="Eras Demi ITC"/>
          <w:color w:val="C00000"/>
          <w:sz w:val="8"/>
          <w:szCs w:val="26"/>
        </w:rPr>
      </w:pPr>
    </w:p>
    <w:p w14:paraId="77A90900" w14:textId="628CD22E" w:rsidR="00681003" w:rsidRPr="00507EC0" w:rsidRDefault="00B64F96" w:rsidP="00681003">
      <w:pPr>
        <w:rPr>
          <w:rFonts w:asciiTheme="minorHAnsi" w:eastAsia="Times New Roman" w:hAnsiTheme="minorHAnsi"/>
        </w:rPr>
      </w:pPr>
      <w:r>
        <w:rPr>
          <w:rFonts w:asciiTheme="minorHAnsi" w:eastAsia="Times New Roman" w:hAnsiTheme="minorHAnsi"/>
        </w:rPr>
        <w:t xml:space="preserve">New York City’s Senior Citizen Rent Increase Exemption (SCRIE) program helps protect low-income seniors against rent increases that eat away at their fixed incomes. Ms. K, now 84 and suffering from advanced dementia, was in danger of losing her home when her landlord brought a non-payment eviction proceeding claiming </w:t>
      </w:r>
      <w:r w:rsidR="00F94BE9">
        <w:rPr>
          <w:rFonts w:asciiTheme="minorHAnsi" w:eastAsia="Times New Roman" w:hAnsiTheme="minorHAnsi"/>
        </w:rPr>
        <w:t xml:space="preserve">it </w:t>
      </w:r>
      <w:r>
        <w:rPr>
          <w:rFonts w:asciiTheme="minorHAnsi" w:eastAsia="Times New Roman" w:hAnsiTheme="minorHAnsi"/>
        </w:rPr>
        <w:t xml:space="preserve">was owed $31,000--the SCRIE portion of her rent for over 12 years. Because of her dementia, Ms. K had failed to renew her SCRIE benefit in 2005 and for more than a decade no one, including her landlord, noticed. </w:t>
      </w:r>
      <w:r w:rsidR="001E243D">
        <w:rPr>
          <w:rFonts w:asciiTheme="minorHAnsi" w:eastAsia="Times New Roman" w:hAnsiTheme="minorHAnsi"/>
        </w:rPr>
        <w:t xml:space="preserve">Mobilization for Justice </w:t>
      </w:r>
      <w:r>
        <w:rPr>
          <w:rFonts w:asciiTheme="minorHAnsi" w:eastAsia="Times New Roman" w:hAnsiTheme="minorHAnsi"/>
        </w:rPr>
        <w:t xml:space="preserve">attorney Brenden Ross helped Ms. K secure a rental assistance grant from the city for $10,000, which the landlord accepted as full payment of arrears, and </w:t>
      </w:r>
      <w:r w:rsidR="00C7197C">
        <w:rPr>
          <w:rFonts w:asciiTheme="minorHAnsi" w:eastAsia="Times New Roman" w:hAnsiTheme="minorHAnsi"/>
        </w:rPr>
        <w:t xml:space="preserve">advocated with </w:t>
      </w:r>
      <w:r>
        <w:rPr>
          <w:rFonts w:asciiTheme="minorHAnsi" w:eastAsia="Times New Roman" w:hAnsiTheme="minorHAnsi"/>
        </w:rPr>
        <w:t>the city to re-freeze Ms. K’s rent at the 2005 amount.</w:t>
      </w:r>
      <w:r w:rsidR="001E243D">
        <w:rPr>
          <w:rFonts w:asciiTheme="minorHAnsi" w:eastAsia="Times New Roman" w:hAnsiTheme="minorHAnsi"/>
        </w:rPr>
        <w:t xml:space="preserve"> Without an attorney, Ms. K would surely have lost her home</w:t>
      </w:r>
      <w:r w:rsidR="00C7197C">
        <w:rPr>
          <w:rFonts w:asciiTheme="minorHAnsi" w:eastAsia="Times New Roman" w:hAnsiTheme="minorHAnsi"/>
        </w:rPr>
        <w:t xml:space="preserve"> and ended up in a costly nursing home</w:t>
      </w:r>
      <w:r w:rsidR="001E243D">
        <w:rPr>
          <w:rFonts w:asciiTheme="minorHAnsi" w:eastAsia="Times New Roman" w:hAnsiTheme="minorHAnsi"/>
        </w:rPr>
        <w:t>.</w:t>
      </w:r>
    </w:p>
    <w:p w14:paraId="2ACB49B3" w14:textId="77777777" w:rsidR="00681003" w:rsidRDefault="00681003" w:rsidP="00681003">
      <w:pPr>
        <w:rPr>
          <w:rFonts w:ascii="Eras Demi ITC" w:hAnsi="Eras Demi ITC"/>
          <w:color w:val="C00000"/>
          <w:sz w:val="26"/>
          <w:szCs w:val="26"/>
        </w:rPr>
      </w:pPr>
    </w:p>
    <w:p w14:paraId="2DE3229D" w14:textId="3B8E3B3E" w:rsidR="00D1283A" w:rsidRDefault="001E243D">
      <w:pPr>
        <w:rPr>
          <w:rFonts w:ascii="Eras Demi ITC" w:hAnsi="Eras Demi ITC"/>
          <w:color w:val="2F5496" w:themeColor="accent5" w:themeShade="BF"/>
          <w:sz w:val="28"/>
          <w:szCs w:val="28"/>
        </w:rPr>
      </w:pPr>
      <w:r>
        <w:rPr>
          <w:rFonts w:ascii="Eras Demi ITC" w:hAnsi="Eras Demi ITC"/>
          <w:color w:val="2F5496" w:themeColor="accent5" w:themeShade="BF"/>
          <w:sz w:val="28"/>
          <w:szCs w:val="28"/>
        </w:rPr>
        <w:t>Willkie Extern Thwarts Landlord’s Phony Renovation Scheme</w:t>
      </w:r>
    </w:p>
    <w:p w14:paraId="4D07C963" w14:textId="77777777" w:rsidR="001E243D" w:rsidRPr="001E243D" w:rsidRDefault="001E243D" w:rsidP="00D1283A">
      <w:pPr>
        <w:rPr>
          <w:rFonts w:asciiTheme="minorHAnsi" w:eastAsia="Times New Roman" w:hAnsiTheme="minorHAnsi"/>
          <w:sz w:val="10"/>
        </w:rPr>
      </w:pPr>
    </w:p>
    <w:p w14:paraId="478FB7DE" w14:textId="238A0122" w:rsidR="00D1283A" w:rsidRPr="00681003" w:rsidRDefault="001E243D" w:rsidP="00D1283A">
      <w:pPr>
        <w:rPr>
          <w:rFonts w:ascii="Eras Demi ITC" w:hAnsi="Eras Demi ITC"/>
          <w:color w:val="C00000"/>
          <w:sz w:val="14"/>
          <w:szCs w:val="26"/>
        </w:rPr>
      </w:pPr>
      <w:r>
        <w:rPr>
          <w:rFonts w:asciiTheme="minorHAnsi" w:eastAsia="Times New Roman" w:hAnsiTheme="minorHAnsi"/>
        </w:rPr>
        <w:t xml:space="preserve">When two rent-stabilized West Village tenants refused to accede to their landlord’s demand to relocate so </w:t>
      </w:r>
      <w:r w:rsidR="00F94BE9">
        <w:rPr>
          <w:rFonts w:asciiTheme="minorHAnsi" w:eastAsia="Times New Roman" w:hAnsiTheme="minorHAnsi"/>
        </w:rPr>
        <w:t xml:space="preserve">it </w:t>
      </w:r>
      <w:r>
        <w:rPr>
          <w:rFonts w:asciiTheme="minorHAnsi" w:eastAsia="Times New Roman" w:hAnsiTheme="minorHAnsi"/>
        </w:rPr>
        <w:t xml:space="preserve">could make building renovations, the landlord moved for a preliminary injunction against them in Supreme Court. </w:t>
      </w:r>
      <w:r w:rsidR="00C027D4">
        <w:rPr>
          <w:rFonts w:asciiTheme="minorHAnsi" w:eastAsia="Times New Roman" w:hAnsiTheme="minorHAnsi"/>
        </w:rPr>
        <w:t xml:space="preserve">Willkie Farr &amp; Gallagher extern </w:t>
      </w:r>
      <w:r w:rsidR="00F94BE9">
        <w:rPr>
          <w:rFonts w:asciiTheme="minorHAnsi" w:eastAsia="Times New Roman" w:hAnsiTheme="minorHAnsi"/>
        </w:rPr>
        <w:t>Samuel Kalar</w:t>
      </w:r>
      <w:r w:rsidR="003A1E0E">
        <w:rPr>
          <w:rFonts w:asciiTheme="minorHAnsi" w:eastAsia="Times New Roman" w:hAnsiTheme="minorHAnsi"/>
        </w:rPr>
        <w:t xml:space="preserve"> cross-moved to dismiss the </w:t>
      </w:r>
      <w:r w:rsidR="009165B2">
        <w:rPr>
          <w:rFonts w:asciiTheme="minorHAnsi" w:eastAsia="Times New Roman" w:hAnsiTheme="minorHAnsi"/>
        </w:rPr>
        <w:t>lawsuit</w:t>
      </w:r>
      <w:r w:rsidR="00F94BE9">
        <w:rPr>
          <w:rFonts w:asciiTheme="minorHAnsi" w:eastAsia="Times New Roman" w:hAnsiTheme="minorHAnsi"/>
        </w:rPr>
        <w:t xml:space="preserve">. </w:t>
      </w:r>
      <w:r w:rsidR="009165B2">
        <w:rPr>
          <w:rFonts w:asciiTheme="minorHAnsi" w:eastAsia="Times New Roman" w:hAnsiTheme="minorHAnsi"/>
        </w:rPr>
        <w:t>He</w:t>
      </w:r>
      <w:r w:rsidR="003B7F0D">
        <w:rPr>
          <w:rFonts w:asciiTheme="minorHAnsi" w:eastAsia="Times New Roman" w:hAnsiTheme="minorHAnsi"/>
        </w:rPr>
        <w:t xml:space="preserve"> </w:t>
      </w:r>
      <w:r w:rsidR="00C027D4">
        <w:rPr>
          <w:rFonts w:asciiTheme="minorHAnsi" w:eastAsia="Times New Roman" w:hAnsiTheme="minorHAnsi"/>
        </w:rPr>
        <w:t>successfully argued that the landlord</w:t>
      </w:r>
      <w:r w:rsidR="00C7197C">
        <w:rPr>
          <w:rFonts w:asciiTheme="minorHAnsi" w:eastAsia="Times New Roman" w:hAnsiTheme="minorHAnsi"/>
        </w:rPr>
        <w:t>’s claims that floors were in imminent danger of collapsing were not supported by inspections or orders from the city agencies that have authority to issue a vacate order</w:t>
      </w:r>
      <w:r w:rsidR="00C027D4">
        <w:rPr>
          <w:rFonts w:asciiTheme="minorHAnsi" w:eastAsia="Times New Roman" w:hAnsiTheme="minorHAnsi"/>
        </w:rPr>
        <w:t xml:space="preserve"> </w:t>
      </w:r>
      <w:r w:rsidR="00C7197C">
        <w:rPr>
          <w:rFonts w:asciiTheme="minorHAnsi" w:eastAsia="Times New Roman" w:hAnsiTheme="minorHAnsi"/>
        </w:rPr>
        <w:t xml:space="preserve">and that the landlord </w:t>
      </w:r>
      <w:r w:rsidR="00C027D4">
        <w:rPr>
          <w:rFonts w:asciiTheme="minorHAnsi" w:eastAsia="Times New Roman" w:hAnsiTheme="minorHAnsi"/>
        </w:rPr>
        <w:t xml:space="preserve">had offered </w:t>
      </w:r>
      <w:r w:rsidR="00C7197C">
        <w:rPr>
          <w:rFonts w:asciiTheme="minorHAnsi" w:eastAsia="Times New Roman" w:hAnsiTheme="minorHAnsi"/>
        </w:rPr>
        <w:t xml:space="preserve">a </w:t>
      </w:r>
      <w:r w:rsidR="00C027D4">
        <w:rPr>
          <w:rFonts w:asciiTheme="minorHAnsi" w:eastAsia="Times New Roman" w:hAnsiTheme="minorHAnsi"/>
        </w:rPr>
        <w:t xml:space="preserve">permanent relocation, not the temporary relocation </w:t>
      </w:r>
      <w:r w:rsidR="003B7F0D">
        <w:rPr>
          <w:rFonts w:asciiTheme="minorHAnsi" w:eastAsia="Times New Roman" w:hAnsiTheme="minorHAnsi"/>
        </w:rPr>
        <w:t xml:space="preserve">it </w:t>
      </w:r>
      <w:r w:rsidR="00C027D4">
        <w:rPr>
          <w:rFonts w:asciiTheme="minorHAnsi" w:eastAsia="Times New Roman" w:hAnsiTheme="minorHAnsi"/>
        </w:rPr>
        <w:t xml:space="preserve">claimed, </w:t>
      </w:r>
      <w:r w:rsidR="00C7197C">
        <w:rPr>
          <w:rFonts w:asciiTheme="minorHAnsi" w:eastAsia="Times New Roman" w:hAnsiTheme="minorHAnsi"/>
        </w:rPr>
        <w:t>proving that the goal of the purported renovation was to remove the tenant</w:t>
      </w:r>
      <w:r w:rsidR="003B7F0D">
        <w:rPr>
          <w:rFonts w:asciiTheme="minorHAnsi" w:eastAsia="Times New Roman" w:hAnsiTheme="minorHAnsi"/>
        </w:rPr>
        <w:t>s</w:t>
      </w:r>
      <w:r w:rsidR="00C7197C">
        <w:rPr>
          <w:rFonts w:asciiTheme="minorHAnsi" w:eastAsia="Times New Roman" w:hAnsiTheme="minorHAnsi"/>
        </w:rPr>
        <w:t>.</w:t>
      </w:r>
      <w:r w:rsidR="00C027D4">
        <w:rPr>
          <w:rFonts w:asciiTheme="minorHAnsi" w:eastAsia="Times New Roman" w:hAnsiTheme="minorHAnsi"/>
        </w:rPr>
        <w:t xml:space="preserve">. Renovation and construction harassment are common tactics used by landlords to move rent-stabilized tenants out of their buildings. </w:t>
      </w:r>
    </w:p>
    <w:p w14:paraId="62124AEF" w14:textId="77777777" w:rsidR="00204302" w:rsidRDefault="00204302">
      <w:pPr>
        <w:rPr>
          <w:rFonts w:ascii="Eras Demi ITC" w:hAnsi="Eras Demi ITC"/>
          <w:color w:val="2F5496" w:themeColor="accent5" w:themeShade="BF"/>
          <w:sz w:val="28"/>
          <w:szCs w:val="26"/>
        </w:rPr>
      </w:pPr>
    </w:p>
    <w:p w14:paraId="7E509BC5" w14:textId="77777777" w:rsidR="009C0114" w:rsidRDefault="00BE4416">
      <w:pPr>
        <w:rPr>
          <w:rFonts w:ascii="Eras Demi ITC" w:hAnsi="Eras Demi ITC"/>
          <w:color w:val="2F5496" w:themeColor="accent5" w:themeShade="BF"/>
          <w:sz w:val="28"/>
          <w:szCs w:val="26"/>
        </w:rPr>
      </w:pPr>
      <w:r w:rsidRPr="007B3441">
        <w:rPr>
          <w:rFonts w:ascii="Eras Demi ITC" w:hAnsi="Eras Demi ITC"/>
          <w:color w:val="2F5496" w:themeColor="accent5" w:themeShade="BF"/>
          <w:sz w:val="28"/>
          <w:szCs w:val="26"/>
        </w:rPr>
        <w:t xml:space="preserve">MFY in the News . . . </w:t>
      </w:r>
    </w:p>
    <w:p w14:paraId="4CC96C86" w14:textId="77777777" w:rsidR="00AF2435" w:rsidRPr="00204302" w:rsidRDefault="00AF2435">
      <w:pPr>
        <w:rPr>
          <w:rFonts w:ascii="Eras Demi ITC" w:hAnsi="Eras Demi ITC"/>
          <w:color w:val="2F5496" w:themeColor="accent5" w:themeShade="BF"/>
          <w:sz w:val="14"/>
          <w:szCs w:val="26"/>
        </w:rPr>
      </w:pPr>
    </w:p>
    <w:p w14:paraId="6771BF00" w14:textId="43868349" w:rsidR="00D1283A" w:rsidRDefault="00C027D4" w:rsidP="00D1283A">
      <w:pPr>
        <w:rPr>
          <w:rFonts w:asciiTheme="minorHAnsi" w:eastAsia="Times New Roman" w:hAnsiTheme="minorHAnsi"/>
        </w:rPr>
      </w:pPr>
      <w:r>
        <w:rPr>
          <w:rFonts w:asciiTheme="minorHAnsi" w:eastAsia="Times New Roman" w:hAnsiTheme="minorHAnsi"/>
        </w:rPr>
        <w:t xml:space="preserve">The </w:t>
      </w:r>
      <w:hyperlink r:id="rId8" w:history="1">
        <w:r w:rsidRPr="00C027D4">
          <w:rPr>
            <w:rStyle w:val="Hyperlink"/>
            <w:rFonts w:asciiTheme="minorHAnsi" w:eastAsia="Times New Roman" w:hAnsiTheme="minorHAnsi"/>
          </w:rPr>
          <w:t>New York Times</w:t>
        </w:r>
      </w:hyperlink>
      <w:r>
        <w:rPr>
          <w:rFonts w:asciiTheme="minorHAnsi" w:eastAsia="Times New Roman" w:hAnsiTheme="minorHAnsi"/>
        </w:rPr>
        <w:t xml:space="preserve"> quoted Mobilization for Justice Supervising Attorney Elizabeth Lynch in an article on a new government report showing that HUD sold thousands of distressed mortgages to private equity firms and hedge funds without following proper rules for setting up the program.</w:t>
      </w:r>
    </w:p>
    <w:p w14:paraId="1A6763AF" w14:textId="77777777" w:rsidR="00C027D4" w:rsidRDefault="00C027D4" w:rsidP="00D1283A">
      <w:pPr>
        <w:rPr>
          <w:rFonts w:asciiTheme="minorHAnsi" w:eastAsia="Times New Roman" w:hAnsiTheme="minorHAnsi"/>
        </w:rPr>
      </w:pPr>
    </w:p>
    <w:p w14:paraId="0B67F417" w14:textId="6CFEAA48" w:rsidR="00C027D4" w:rsidRPr="00681003" w:rsidRDefault="00C027D4" w:rsidP="00D1283A">
      <w:pPr>
        <w:rPr>
          <w:rFonts w:ascii="Eras Demi ITC" w:hAnsi="Eras Demi ITC"/>
          <w:color w:val="C00000"/>
          <w:sz w:val="14"/>
          <w:szCs w:val="26"/>
        </w:rPr>
      </w:pPr>
      <w:r>
        <w:rPr>
          <w:rFonts w:asciiTheme="minorHAnsi" w:eastAsia="Times New Roman" w:hAnsiTheme="minorHAnsi"/>
        </w:rPr>
        <w:t xml:space="preserve">WNYC ran a piece on how New York State has attempted to </w:t>
      </w:r>
      <w:hyperlink r:id="rId9" w:history="1">
        <w:r w:rsidRPr="00530DE0">
          <w:rPr>
            <w:rStyle w:val="Hyperlink"/>
            <w:rFonts w:asciiTheme="minorHAnsi" w:eastAsia="Times New Roman" w:hAnsiTheme="minorHAnsi"/>
          </w:rPr>
          <w:t>subvert the settlement</w:t>
        </w:r>
      </w:hyperlink>
      <w:r>
        <w:rPr>
          <w:rFonts w:asciiTheme="minorHAnsi" w:eastAsia="Times New Roman" w:hAnsiTheme="minorHAnsi"/>
        </w:rPr>
        <w:t xml:space="preserve"> </w:t>
      </w:r>
      <w:r w:rsidR="00530DE0">
        <w:rPr>
          <w:rFonts w:asciiTheme="minorHAnsi" w:eastAsia="Times New Roman" w:hAnsiTheme="minorHAnsi"/>
        </w:rPr>
        <w:t>allowing some 4,000 residents of adult homes with mental illness to move to supportive housing.</w:t>
      </w:r>
    </w:p>
    <w:p w14:paraId="09EC384C" w14:textId="77777777" w:rsidR="007B3441" w:rsidRDefault="007B3441" w:rsidP="00D1283A">
      <w:pPr>
        <w:rPr>
          <w:rFonts w:asciiTheme="minorHAnsi" w:eastAsia="Times New Roman" w:hAnsiTheme="minorHAnsi"/>
        </w:rPr>
      </w:pPr>
    </w:p>
    <w:p w14:paraId="7DC853A3" w14:textId="10459851" w:rsidR="007B3441" w:rsidRDefault="00530DE0" w:rsidP="00D1283A">
      <w:pPr>
        <w:rPr>
          <w:rFonts w:asciiTheme="minorHAnsi" w:eastAsia="Times New Roman" w:hAnsiTheme="minorHAnsi"/>
        </w:rPr>
      </w:pPr>
      <w:r>
        <w:rPr>
          <w:rFonts w:asciiTheme="minorHAnsi" w:eastAsia="Times New Roman" w:hAnsiTheme="minorHAnsi"/>
        </w:rPr>
        <w:t xml:space="preserve">In reporting on three new appointees to the Southern District of New York, </w:t>
      </w:r>
      <w:hyperlink r:id="rId10" w:history="1">
        <w:r w:rsidRPr="00530DE0">
          <w:rPr>
            <w:rStyle w:val="Hyperlink"/>
            <w:rFonts w:asciiTheme="minorHAnsi" w:eastAsia="Times New Roman" w:hAnsiTheme="minorHAnsi"/>
          </w:rPr>
          <w:t>The New York Law Journal</w:t>
        </w:r>
      </w:hyperlink>
      <w:r>
        <w:rPr>
          <w:rFonts w:asciiTheme="minorHAnsi" w:eastAsia="Times New Roman" w:hAnsiTheme="minorHAnsi"/>
        </w:rPr>
        <w:t xml:space="preserve"> included mention of the pro bono work for Mobil</w:t>
      </w:r>
      <w:r w:rsidR="00C7197C">
        <w:rPr>
          <w:rFonts w:asciiTheme="minorHAnsi" w:eastAsia="Times New Roman" w:hAnsiTheme="minorHAnsi"/>
        </w:rPr>
        <w:t>i</w:t>
      </w:r>
      <w:r>
        <w:rPr>
          <w:rFonts w:asciiTheme="minorHAnsi" w:eastAsia="Times New Roman" w:hAnsiTheme="minorHAnsi"/>
        </w:rPr>
        <w:t>zation for Justice by Robert Lehrberger, an attorney at Patterson Belknap Webb &amp; Tyler.</w:t>
      </w:r>
    </w:p>
    <w:sectPr w:rsidR="007B3441"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270B"/>
    <w:rsid w:val="00067F7C"/>
    <w:rsid w:val="000860F4"/>
    <w:rsid w:val="000E5AAE"/>
    <w:rsid w:val="00110258"/>
    <w:rsid w:val="00111960"/>
    <w:rsid w:val="00124255"/>
    <w:rsid w:val="00142627"/>
    <w:rsid w:val="00183325"/>
    <w:rsid w:val="00196BC3"/>
    <w:rsid w:val="001D117A"/>
    <w:rsid w:val="001D6A63"/>
    <w:rsid w:val="001E243D"/>
    <w:rsid w:val="00204302"/>
    <w:rsid w:val="00225093"/>
    <w:rsid w:val="00240A59"/>
    <w:rsid w:val="00270875"/>
    <w:rsid w:val="002937F7"/>
    <w:rsid w:val="0029661C"/>
    <w:rsid w:val="002F7748"/>
    <w:rsid w:val="003063FC"/>
    <w:rsid w:val="00336178"/>
    <w:rsid w:val="00346908"/>
    <w:rsid w:val="00377428"/>
    <w:rsid w:val="00393BB7"/>
    <w:rsid w:val="003A1E0E"/>
    <w:rsid w:val="003A2B58"/>
    <w:rsid w:val="003B7F0D"/>
    <w:rsid w:val="003D31AF"/>
    <w:rsid w:val="003D3B51"/>
    <w:rsid w:val="003E06C9"/>
    <w:rsid w:val="003E6188"/>
    <w:rsid w:val="0042302C"/>
    <w:rsid w:val="004560A4"/>
    <w:rsid w:val="0049399A"/>
    <w:rsid w:val="004A421E"/>
    <w:rsid w:val="004A4316"/>
    <w:rsid w:val="004D18FF"/>
    <w:rsid w:val="004F5C57"/>
    <w:rsid w:val="00521837"/>
    <w:rsid w:val="00530DE0"/>
    <w:rsid w:val="005545F5"/>
    <w:rsid w:val="00563B48"/>
    <w:rsid w:val="00563C54"/>
    <w:rsid w:val="005B6910"/>
    <w:rsid w:val="005D2F2B"/>
    <w:rsid w:val="00601FCE"/>
    <w:rsid w:val="0064297D"/>
    <w:rsid w:val="006513FF"/>
    <w:rsid w:val="00656F8E"/>
    <w:rsid w:val="006726F0"/>
    <w:rsid w:val="00677913"/>
    <w:rsid w:val="00681003"/>
    <w:rsid w:val="006A29E8"/>
    <w:rsid w:val="006D3138"/>
    <w:rsid w:val="0070503E"/>
    <w:rsid w:val="00710CE3"/>
    <w:rsid w:val="00734FA0"/>
    <w:rsid w:val="007478BE"/>
    <w:rsid w:val="007B3441"/>
    <w:rsid w:val="007D6ACB"/>
    <w:rsid w:val="007E4BA5"/>
    <w:rsid w:val="0083130D"/>
    <w:rsid w:val="00831685"/>
    <w:rsid w:val="00835E69"/>
    <w:rsid w:val="008453A8"/>
    <w:rsid w:val="00851F99"/>
    <w:rsid w:val="00864F2C"/>
    <w:rsid w:val="00870AEC"/>
    <w:rsid w:val="00902DDB"/>
    <w:rsid w:val="009108E4"/>
    <w:rsid w:val="00915750"/>
    <w:rsid w:val="009165B2"/>
    <w:rsid w:val="00933C8A"/>
    <w:rsid w:val="00955BE2"/>
    <w:rsid w:val="00985B8B"/>
    <w:rsid w:val="009B30AE"/>
    <w:rsid w:val="009C0114"/>
    <w:rsid w:val="009C0901"/>
    <w:rsid w:val="009D17B1"/>
    <w:rsid w:val="009E4EB1"/>
    <w:rsid w:val="00A3760B"/>
    <w:rsid w:val="00A84E09"/>
    <w:rsid w:val="00AA524B"/>
    <w:rsid w:val="00AB0F9D"/>
    <w:rsid w:val="00AB3FB6"/>
    <w:rsid w:val="00AC7241"/>
    <w:rsid w:val="00AD523D"/>
    <w:rsid w:val="00AE583A"/>
    <w:rsid w:val="00AF2435"/>
    <w:rsid w:val="00B336C4"/>
    <w:rsid w:val="00B64F96"/>
    <w:rsid w:val="00BE4416"/>
    <w:rsid w:val="00BF4E46"/>
    <w:rsid w:val="00C027D4"/>
    <w:rsid w:val="00C44F7A"/>
    <w:rsid w:val="00C50559"/>
    <w:rsid w:val="00C52746"/>
    <w:rsid w:val="00C67FF3"/>
    <w:rsid w:val="00C7197C"/>
    <w:rsid w:val="00CA2850"/>
    <w:rsid w:val="00CD1947"/>
    <w:rsid w:val="00CD72E9"/>
    <w:rsid w:val="00CF2082"/>
    <w:rsid w:val="00CF37B2"/>
    <w:rsid w:val="00D01EF6"/>
    <w:rsid w:val="00D1283A"/>
    <w:rsid w:val="00D22CB5"/>
    <w:rsid w:val="00D305EA"/>
    <w:rsid w:val="00D72D31"/>
    <w:rsid w:val="00D73392"/>
    <w:rsid w:val="00DC5E28"/>
    <w:rsid w:val="00DF16C8"/>
    <w:rsid w:val="00DF7265"/>
    <w:rsid w:val="00E21672"/>
    <w:rsid w:val="00E4170D"/>
    <w:rsid w:val="00E61895"/>
    <w:rsid w:val="00EB46AD"/>
    <w:rsid w:val="00EC00C7"/>
    <w:rsid w:val="00EF6FCE"/>
    <w:rsid w:val="00F361C0"/>
    <w:rsid w:val="00F6677E"/>
    <w:rsid w:val="00F72491"/>
    <w:rsid w:val="00F94BE9"/>
    <w:rsid w:val="00FA3528"/>
    <w:rsid w:val="00FA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7/25/business/dealbook/hud-mortgages.html?smprod=nytcore-iphone&amp;smid=nytcore-iphone-share&amp;_r=0" TargetMode="External"/><Relationship Id="rId3" Type="http://schemas.openxmlformats.org/officeDocument/2006/relationships/settings" Target="settings.xml"/><Relationship Id="rId7" Type="http://schemas.openxmlformats.org/officeDocument/2006/relationships/hyperlink" Target="http://mobilizationforjustice.org/announcements/nyc-tenants-will-now-have-a-fighting-chance-in-housing-cou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ewyorklawjournal.com/id=1202793792484/3-From-Big-Law-Chosen-as-SDNY-Magistrate-Judges?mcode=1202617075062&amp;curindex=0" TargetMode="External"/><Relationship Id="rId4" Type="http://schemas.openxmlformats.org/officeDocument/2006/relationships/webSettings" Target="webSettings.xml"/><Relationship Id="rId9" Type="http://schemas.openxmlformats.org/officeDocument/2006/relationships/hyperlink" Target="http://www.wnyc.org/story/legal-settlement-mentally-ill-nearly-falls-a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1801-C920-43E7-81B4-8929A465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 Schaefer</dc:creator>
  <cp:lastModifiedBy>Dolores Schaefer</cp:lastModifiedBy>
  <cp:revision>2</cp:revision>
  <dcterms:created xsi:type="dcterms:W3CDTF">2017-08-02T14:22:00Z</dcterms:created>
  <dcterms:modified xsi:type="dcterms:W3CDTF">2017-08-02T14:22:00Z</dcterms:modified>
</cp:coreProperties>
</file>