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1B" w:rsidRDefault="00375F01">
      <w:pPr>
        <w:rPr>
          <w:rFonts w:ascii="Eras Demi ITC" w:hAnsi="Eras Demi ITC"/>
          <w:sz w:val="56"/>
          <w:szCs w:val="56"/>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74930</wp:posOffset>
            </wp:positionV>
            <wp:extent cx="2154555" cy="160591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4555" cy="1605915"/>
                    </a:xfrm>
                    <a:prstGeom prst="rect">
                      <a:avLst/>
                    </a:prstGeom>
                    <a:noFill/>
                  </pic:spPr>
                </pic:pic>
              </a:graphicData>
            </a:graphic>
            <wp14:sizeRelH relativeFrom="page">
              <wp14:pctWidth>0</wp14:pctWidth>
            </wp14:sizeRelH>
            <wp14:sizeRelV relativeFrom="page">
              <wp14:pctHeight>0</wp14:pctHeight>
            </wp14:sizeRelV>
          </wp:anchor>
        </w:drawing>
      </w:r>
    </w:p>
    <w:p w:rsidR="00D55C1B" w:rsidRPr="00966B6B" w:rsidRDefault="00D55C1B" w:rsidP="00966B6B">
      <w:pPr>
        <w:jc w:val="center"/>
        <w:rPr>
          <w:rFonts w:ascii="Eras Demi ITC" w:hAnsi="Eras Demi ITC"/>
          <w:color w:val="C00000"/>
          <w:sz w:val="14"/>
          <w:szCs w:val="72"/>
        </w:rPr>
      </w:pPr>
    </w:p>
    <w:p w:rsidR="00D55C1B" w:rsidRPr="004738E1" w:rsidRDefault="00D55C1B" w:rsidP="00966B6B">
      <w:pPr>
        <w:jc w:val="center"/>
        <w:rPr>
          <w:rFonts w:ascii="Eras Demi ITC" w:hAnsi="Eras Demi ITC"/>
          <w:color w:val="C00000"/>
          <w:sz w:val="72"/>
          <w:szCs w:val="72"/>
        </w:rPr>
      </w:pPr>
      <w:r w:rsidRPr="004738E1">
        <w:rPr>
          <w:rFonts w:ascii="Eras Demi ITC" w:hAnsi="Eras Demi ITC"/>
          <w:color w:val="C00000"/>
          <w:sz w:val="72"/>
          <w:szCs w:val="72"/>
        </w:rPr>
        <w:t>Update</w:t>
      </w:r>
    </w:p>
    <w:p w:rsidR="00D55C1B" w:rsidRPr="00DF5811" w:rsidRDefault="00D55C1B" w:rsidP="00966B6B">
      <w:pPr>
        <w:jc w:val="center"/>
        <w:rPr>
          <w:rFonts w:ascii="Eras Light ITC" w:hAnsi="Eras Light ITC"/>
          <w:color w:val="C00000"/>
          <w:sz w:val="36"/>
          <w:szCs w:val="72"/>
        </w:rPr>
      </w:pPr>
      <w:r>
        <w:rPr>
          <w:rFonts w:ascii="Eras Light ITC" w:hAnsi="Eras Light ITC"/>
          <w:color w:val="C00000"/>
          <w:sz w:val="36"/>
          <w:szCs w:val="72"/>
        </w:rPr>
        <w:t>May 2016</w:t>
      </w:r>
    </w:p>
    <w:p w:rsidR="00D55C1B" w:rsidRPr="00710AA8" w:rsidRDefault="00D55C1B" w:rsidP="00966B6B">
      <w:pPr>
        <w:jc w:val="center"/>
        <w:rPr>
          <w:rFonts w:ascii="Eras Demi ITC" w:hAnsi="Eras Demi ITC"/>
          <w:color w:val="C00000"/>
          <w:szCs w:val="72"/>
        </w:rPr>
      </w:pPr>
    </w:p>
    <w:p w:rsidR="00D55C1B" w:rsidRDefault="00D55C1B" w:rsidP="00966B6B">
      <w:pPr>
        <w:jc w:val="center"/>
        <w:rPr>
          <w:rFonts w:ascii="Eras Demi ITC" w:hAnsi="Eras Demi ITC"/>
          <w:color w:val="C00000"/>
          <w:sz w:val="44"/>
          <w:szCs w:val="72"/>
        </w:rPr>
      </w:pPr>
    </w:p>
    <w:p w:rsidR="00D55C1B" w:rsidRPr="007273F2" w:rsidRDefault="00D55C1B" w:rsidP="00966B6B">
      <w:pPr>
        <w:rPr>
          <w:rFonts w:ascii="Eras Demi ITC" w:hAnsi="Eras Demi ITC"/>
          <w:color w:val="C00000"/>
          <w:sz w:val="18"/>
          <w:szCs w:val="72"/>
        </w:rPr>
      </w:pPr>
    </w:p>
    <w:p w:rsidR="00D55C1B" w:rsidRDefault="00D55C1B" w:rsidP="003E261A">
      <w:pPr>
        <w:pStyle w:val="owapara"/>
        <w:rPr>
          <w:rFonts w:ascii="Eras Demi ITC" w:hAnsi="Eras Demi ITC"/>
          <w:bCs/>
          <w:color w:val="C00000"/>
          <w:sz w:val="28"/>
          <w:szCs w:val="28"/>
        </w:rPr>
      </w:pPr>
    </w:p>
    <w:p w:rsidR="00D55C1B" w:rsidRPr="00EA4E01" w:rsidRDefault="00D55C1B" w:rsidP="003E261A">
      <w:pPr>
        <w:pStyle w:val="owapara"/>
        <w:rPr>
          <w:sz w:val="14"/>
        </w:rPr>
      </w:pPr>
      <w:r>
        <w:rPr>
          <w:rFonts w:ascii="Eras Demi ITC" w:hAnsi="Eras Demi ITC"/>
          <w:bCs/>
          <w:color w:val="C00000"/>
          <w:sz w:val="28"/>
          <w:szCs w:val="28"/>
        </w:rPr>
        <w:t>Class Action Compels NYC Transit to Change Unfair Access-a-Ride Policies</w:t>
      </w:r>
    </w:p>
    <w:p w:rsidR="00D55C1B" w:rsidRPr="003E261A" w:rsidRDefault="00375F01" w:rsidP="003E261A">
      <w:pPr>
        <w:pStyle w:val="NormalWeb"/>
        <w:rPr>
          <w:rFonts w:ascii="Calibri" w:hAnsi="Calibri"/>
          <w:sz w:val="22"/>
          <w:szCs w:val="22"/>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177800</wp:posOffset>
            </wp:positionV>
            <wp:extent cx="2054225" cy="1190625"/>
            <wp:effectExtent l="0" t="0" r="3175" b="952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4225" cy="1190625"/>
                    </a:xfrm>
                    <a:prstGeom prst="rect">
                      <a:avLst/>
                    </a:prstGeom>
                    <a:noFill/>
                  </pic:spPr>
                </pic:pic>
              </a:graphicData>
            </a:graphic>
            <wp14:sizeRelH relativeFrom="page">
              <wp14:pctWidth>0</wp14:pctWidth>
            </wp14:sizeRelH>
            <wp14:sizeRelV relativeFrom="page">
              <wp14:pctHeight>0</wp14:pctHeight>
            </wp14:sizeRelV>
          </wp:anchor>
        </w:drawing>
      </w:r>
      <w:r w:rsidR="00D55C1B" w:rsidRPr="003E261A">
        <w:rPr>
          <w:rFonts w:ascii="Calibri" w:hAnsi="Calibri"/>
          <w:sz w:val="22"/>
          <w:szCs w:val="22"/>
        </w:rPr>
        <w:t xml:space="preserve">A </w:t>
      </w:r>
      <w:hyperlink r:id="rId6" w:history="1">
        <w:r w:rsidR="00D55C1B" w:rsidRPr="003E261A">
          <w:rPr>
            <w:rStyle w:val="Hyperlink"/>
            <w:rFonts w:ascii="Calibri" w:hAnsi="Calibri"/>
            <w:sz w:val="22"/>
            <w:szCs w:val="22"/>
          </w:rPr>
          <w:t>class action lawsuit challenging unconstitutional practices of Access-A-Ride</w:t>
        </w:r>
      </w:hyperlink>
      <w:r w:rsidR="00D55C1B" w:rsidRPr="003E261A">
        <w:rPr>
          <w:rFonts w:ascii="Calibri" w:hAnsi="Calibri"/>
          <w:sz w:val="22"/>
          <w:szCs w:val="22"/>
        </w:rPr>
        <w:t xml:space="preserve">, </w:t>
      </w:r>
      <w:smartTag w:uri="urn:schemas-microsoft-com:office:smarttags" w:element="State">
        <w:r w:rsidR="00D55C1B" w:rsidRPr="003E261A">
          <w:rPr>
            <w:rFonts w:ascii="Calibri" w:hAnsi="Calibri"/>
            <w:sz w:val="22"/>
            <w:szCs w:val="22"/>
          </w:rPr>
          <w:t>New York</w:t>
        </w:r>
      </w:smartTag>
      <w:r w:rsidR="00D55C1B" w:rsidRPr="003E261A">
        <w:rPr>
          <w:rFonts w:ascii="Calibri" w:hAnsi="Calibri"/>
          <w:sz w:val="22"/>
          <w:szCs w:val="22"/>
        </w:rPr>
        <w:t xml:space="preserve"> City’s paratransit service for people with disabilities, received preliminary approval on May 19, 2016. Five plaintiffs with disabilities were represented by MFY Legal Services and Pillsbury Winthrop Shaw Pittman LLP. Once the settlement is finally approved, NYC Transit must provide specific information on why an applicant is denied, must provide the applicant’s file for free on request, and must continue services for those who </w:t>
      </w:r>
      <w:r w:rsidR="00D55C1B">
        <w:rPr>
          <w:rFonts w:ascii="Calibri" w:hAnsi="Calibri"/>
          <w:sz w:val="22"/>
          <w:szCs w:val="22"/>
        </w:rPr>
        <w:t xml:space="preserve">previously had </w:t>
      </w:r>
      <w:r w:rsidR="00D55C1B" w:rsidRPr="003E261A">
        <w:rPr>
          <w:rFonts w:ascii="Calibri" w:hAnsi="Calibri"/>
          <w:sz w:val="22"/>
          <w:szCs w:val="22"/>
        </w:rPr>
        <w:t>Access-A-Ride until the</w:t>
      </w:r>
      <w:r w:rsidR="00D55C1B">
        <w:rPr>
          <w:rFonts w:ascii="Calibri" w:hAnsi="Calibri"/>
          <w:sz w:val="22"/>
          <w:szCs w:val="22"/>
        </w:rPr>
        <w:t>ir</w:t>
      </w:r>
      <w:r w:rsidR="00D55C1B" w:rsidRPr="003E261A">
        <w:rPr>
          <w:rFonts w:ascii="Calibri" w:hAnsi="Calibri"/>
          <w:sz w:val="22"/>
          <w:szCs w:val="22"/>
        </w:rPr>
        <w:t xml:space="preserve"> appeal is decided.</w:t>
      </w:r>
      <w:r w:rsidR="00D55C1B">
        <w:rPr>
          <w:rFonts w:ascii="Calibri" w:hAnsi="Calibri"/>
          <w:sz w:val="22"/>
          <w:szCs w:val="22"/>
        </w:rPr>
        <w:t xml:space="preserve"> It also requires NYC Transit to state that it does not discriminate against people with episodic disabilities.</w:t>
      </w:r>
    </w:p>
    <w:p w:rsidR="00D55C1B" w:rsidRDefault="00D55C1B" w:rsidP="00BA7D46">
      <w:pPr>
        <w:pStyle w:val="owapara"/>
        <w:rPr>
          <w:rFonts w:ascii="Eras Demi ITC" w:hAnsi="Eras Demi ITC"/>
          <w:bCs/>
          <w:color w:val="C00000"/>
          <w:sz w:val="28"/>
          <w:szCs w:val="28"/>
        </w:rPr>
      </w:pPr>
      <w:r>
        <w:rPr>
          <w:rFonts w:ascii="Eras Demi ITC" w:hAnsi="Eras Demi ITC"/>
          <w:bCs/>
          <w:color w:val="C00000"/>
          <w:sz w:val="28"/>
          <w:szCs w:val="28"/>
        </w:rPr>
        <w:t xml:space="preserve">Elderly Residents at </w:t>
      </w:r>
      <w:smartTag w:uri="urn:schemas-microsoft-com:office:smarttags" w:element="PlaceName">
        <w:r>
          <w:rPr>
            <w:rFonts w:ascii="Eras Demi ITC" w:hAnsi="Eras Demi ITC"/>
            <w:bCs/>
            <w:color w:val="C00000"/>
            <w:sz w:val="28"/>
            <w:szCs w:val="28"/>
          </w:rPr>
          <w:t>Prospect</w:t>
        </w:r>
      </w:smartTag>
      <w:r>
        <w:rPr>
          <w:rFonts w:ascii="Eras Demi ITC" w:hAnsi="Eras Demi ITC"/>
          <w:bCs/>
          <w:color w:val="C00000"/>
          <w:sz w:val="28"/>
          <w:szCs w:val="28"/>
        </w:rPr>
        <w:t xml:space="preserve"> </w:t>
      </w:r>
      <w:smartTag w:uri="urn:schemas-microsoft-com:office:smarttags" w:element="PlaceType">
        <w:r>
          <w:rPr>
            <w:rFonts w:ascii="Eras Demi ITC" w:hAnsi="Eras Demi ITC"/>
            <w:bCs/>
            <w:color w:val="C00000"/>
            <w:sz w:val="28"/>
            <w:szCs w:val="28"/>
          </w:rPr>
          <w:t>Park</w:t>
        </w:r>
      </w:smartTag>
      <w:r>
        <w:rPr>
          <w:rFonts w:ascii="Eras Demi ITC" w:hAnsi="Eras Demi ITC"/>
          <w:bCs/>
          <w:color w:val="C00000"/>
          <w:sz w:val="28"/>
          <w:szCs w:val="28"/>
        </w:rPr>
        <w:t xml:space="preserve"> Residence Win Settlement after Two-Year </w:t>
      </w:r>
      <w:smartTag w:uri="urn:schemas-microsoft-com:office:smarttags" w:element="place">
        <w:smartTag w:uri="urn:schemas-microsoft-com:office:smarttags" w:element="City">
          <w:r>
            <w:rPr>
              <w:rFonts w:ascii="Eras Demi ITC" w:hAnsi="Eras Demi ITC"/>
              <w:bCs/>
              <w:color w:val="C00000"/>
              <w:sz w:val="28"/>
              <w:szCs w:val="28"/>
            </w:rPr>
            <w:t>Battle</w:t>
          </w:r>
        </w:smartTag>
      </w:smartTag>
    </w:p>
    <w:p w:rsidR="00D55C1B" w:rsidRPr="00BA7D46" w:rsidRDefault="00D55C1B" w:rsidP="00BA7D46">
      <w:pPr>
        <w:pStyle w:val="owapara"/>
        <w:rPr>
          <w:rFonts w:ascii="Eras Demi ITC" w:hAnsi="Eras Demi ITC"/>
          <w:bCs/>
          <w:color w:val="C00000"/>
          <w:sz w:val="14"/>
          <w:szCs w:val="28"/>
        </w:rPr>
      </w:pPr>
    </w:p>
    <w:p w:rsidR="00D55C1B" w:rsidRDefault="00D55C1B" w:rsidP="007E7361">
      <w:pPr>
        <w:pStyle w:val="owapara"/>
        <w:rPr>
          <w:rFonts w:ascii="Calibri" w:hAnsi="Calibri" w:cs="Arial"/>
          <w:color w:val="444444"/>
          <w:sz w:val="22"/>
          <w:szCs w:val="22"/>
          <w:shd w:val="clear" w:color="auto" w:fill="FCFCFC"/>
        </w:rPr>
      </w:pPr>
      <w:r w:rsidRPr="003E261A">
        <w:rPr>
          <w:rFonts w:ascii="Calibri" w:hAnsi="Calibri" w:cs="Arial"/>
          <w:color w:val="444444"/>
          <w:sz w:val="22"/>
          <w:szCs w:val="22"/>
          <w:shd w:val="clear" w:color="auto" w:fill="FCFCFC"/>
        </w:rPr>
        <w:t xml:space="preserve">Patience and tenacity paid off for the five residents of the Prospect Park Residence in </w:t>
      </w:r>
      <w:smartTag w:uri="urn:schemas-microsoft-com:office:smarttags" w:element="place">
        <w:r w:rsidRPr="003E261A">
          <w:rPr>
            <w:rFonts w:ascii="Calibri" w:hAnsi="Calibri" w:cs="Arial"/>
            <w:color w:val="444444"/>
            <w:sz w:val="22"/>
            <w:szCs w:val="22"/>
            <w:shd w:val="clear" w:color="auto" w:fill="FCFCFC"/>
          </w:rPr>
          <w:t>Brooklyn</w:t>
        </w:r>
      </w:smartTag>
      <w:r w:rsidRPr="003E261A">
        <w:rPr>
          <w:rFonts w:ascii="Calibri" w:hAnsi="Calibri" w:cs="Arial"/>
          <w:color w:val="444444"/>
          <w:sz w:val="22"/>
          <w:szCs w:val="22"/>
          <w:shd w:val="clear" w:color="auto" w:fill="FCFCFC"/>
        </w:rPr>
        <w:t xml:space="preserve"> who refused to leave when the new owner abruptly announced the facility’s closing in 2014. Represented by MFY Legal Services, The Legal Aid Society, and Fitzpatrick, Cella, Harper &amp; Scinto, the</w:t>
      </w:r>
      <w:r w:rsidRPr="003E261A">
        <w:rPr>
          <w:rStyle w:val="apple-converted-space"/>
          <w:rFonts w:ascii="Calibri" w:hAnsi="Calibri" w:cs="Arial"/>
          <w:color w:val="444444"/>
          <w:sz w:val="22"/>
          <w:szCs w:val="22"/>
          <w:shd w:val="clear" w:color="auto" w:fill="FCFCFC"/>
        </w:rPr>
        <w:t> </w:t>
      </w:r>
      <w:hyperlink r:id="rId7" w:history="1">
        <w:r w:rsidRPr="003E261A">
          <w:rPr>
            <w:rStyle w:val="Hyperlink"/>
            <w:rFonts w:ascii="Calibri" w:hAnsi="Calibri" w:cs="Arial"/>
            <w:b/>
            <w:bCs/>
            <w:color w:val="004ADB"/>
            <w:sz w:val="22"/>
            <w:szCs w:val="22"/>
            <w:u w:val="none"/>
            <w:bdr w:val="none" w:sz="0" w:space="0" w:color="auto" w:frame="1"/>
            <w:shd w:val="clear" w:color="auto" w:fill="FCFCFC"/>
          </w:rPr>
          <w:t xml:space="preserve">residents sued and reached a </w:t>
        </w:r>
        <w:r>
          <w:rPr>
            <w:rStyle w:val="Hyperlink"/>
            <w:rFonts w:ascii="Calibri" w:hAnsi="Calibri" w:cs="Arial"/>
            <w:b/>
            <w:bCs/>
            <w:color w:val="004ADB"/>
            <w:sz w:val="22"/>
            <w:szCs w:val="22"/>
            <w:u w:val="none"/>
            <w:bdr w:val="none" w:sz="0" w:space="0" w:color="auto" w:frame="1"/>
            <w:shd w:val="clear" w:color="auto" w:fill="FCFCFC"/>
          </w:rPr>
          <w:t xml:space="preserve">multimillion dollar </w:t>
        </w:r>
        <w:r w:rsidRPr="003E261A">
          <w:rPr>
            <w:rStyle w:val="Hyperlink"/>
            <w:rFonts w:ascii="Calibri" w:hAnsi="Calibri" w:cs="Arial"/>
            <w:b/>
            <w:bCs/>
            <w:color w:val="004ADB"/>
            <w:sz w:val="22"/>
            <w:szCs w:val="22"/>
            <w:u w:val="none"/>
            <w:bdr w:val="none" w:sz="0" w:space="0" w:color="auto" w:frame="1"/>
            <w:shd w:val="clear" w:color="auto" w:fill="FCFCFC"/>
          </w:rPr>
          <w:t xml:space="preserve">settlement </w:t>
        </w:r>
      </w:hyperlink>
      <w:r w:rsidRPr="003E261A">
        <w:rPr>
          <w:rFonts w:ascii="Calibri" w:hAnsi="Calibri" w:cs="Arial"/>
          <w:color w:val="444444"/>
          <w:sz w:val="22"/>
          <w:szCs w:val="22"/>
          <w:shd w:val="clear" w:color="auto" w:fill="FCFCFC"/>
        </w:rPr>
        <w:t xml:space="preserve">that will give them </w:t>
      </w:r>
      <w:r>
        <w:rPr>
          <w:rFonts w:ascii="Calibri" w:hAnsi="Calibri" w:cs="Arial"/>
          <w:color w:val="444444"/>
          <w:sz w:val="22"/>
          <w:szCs w:val="22"/>
          <w:shd w:val="clear" w:color="auto" w:fill="FCFCFC"/>
        </w:rPr>
        <w:t>the resources</w:t>
      </w:r>
      <w:r w:rsidRPr="003E261A">
        <w:rPr>
          <w:rFonts w:ascii="Calibri" w:hAnsi="Calibri" w:cs="Arial"/>
          <w:color w:val="444444"/>
          <w:sz w:val="22"/>
          <w:szCs w:val="22"/>
          <w:shd w:val="clear" w:color="auto" w:fill="FCFCFC"/>
        </w:rPr>
        <w:t xml:space="preserve"> and time to relocate to appropriate housing. Legal claims remain against the New York State Department of Health, whose weak regulations enable assisted living operators to close facilities with </w:t>
      </w:r>
      <w:r>
        <w:rPr>
          <w:rFonts w:ascii="Calibri" w:hAnsi="Calibri" w:cs="Arial"/>
          <w:color w:val="444444"/>
          <w:sz w:val="22"/>
          <w:szCs w:val="22"/>
          <w:shd w:val="clear" w:color="auto" w:fill="FCFCFC"/>
        </w:rPr>
        <w:t>inadequate protections for</w:t>
      </w:r>
      <w:r w:rsidRPr="003E261A">
        <w:rPr>
          <w:rFonts w:ascii="Calibri" w:hAnsi="Calibri" w:cs="Arial"/>
          <w:color w:val="444444"/>
          <w:sz w:val="22"/>
          <w:szCs w:val="22"/>
          <w:shd w:val="clear" w:color="auto" w:fill="FCFCFC"/>
        </w:rPr>
        <w:t xml:space="preserve"> vulnerable elderly people.</w:t>
      </w:r>
    </w:p>
    <w:p w:rsidR="00D55C1B" w:rsidRPr="003E261A" w:rsidRDefault="00D55C1B" w:rsidP="007E7361">
      <w:pPr>
        <w:pStyle w:val="owapara"/>
        <w:rPr>
          <w:rFonts w:ascii="Calibri" w:hAnsi="Calibri"/>
          <w:bCs/>
          <w:color w:val="C00000"/>
          <w:sz w:val="22"/>
          <w:szCs w:val="22"/>
        </w:rPr>
      </w:pPr>
      <w:bookmarkStart w:id="0" w:name="_GoBack"/>
      <w:bookmarkEnd w:id="0"/>
    </w:p>
    <w:p w:rsidR="00D55C1B" w:rsidRPr="00375F01" w:rsidRDefault="00375F01" w:rsidP="003E261A">
      <w:pPr>
        <w:pStyle w:val="Heading1"/>
        <w:spacing w:before="0" w:beforeAutospacing="0" w:after="0" w:afterAutospacing="0" w:line="291" w:lineRule="atLeast"/>
        <w:textAlignment w:val="baseline"/>
        <w:rPr>
          <w:rFonts w:ascii="Eras Demi ITC" w:hAnsi="Eras Demi ITC"/>
          <w:b w:val="0"/>
          <w:bCs w:val="0"/>
          <w:color w:val="C00000"/>
          <w:sz w:val="28"/>
          <w:szCs w:val="28"/>
        </w:rPr>
      </w:pPr>
      <w:hyperlink r:id="rId8" w:tooltip="Permalink to Lawsuit Charges Housing Discrimination against African-Americans and People with Rental Subsidies" w:history="1">
        <w:r w:rsidR="00D55C1B" w:rsidRPr="00375F01">
          <w:rPr>
            <w:rStyle w:val="Hyperlink"/>
            <w:rFonts w:ascii="Eras Demi ITC" w:hAnsi="Eras Demi ITC"/>
            <w:b w:val="0"/>
            <w:color w:val="C00000"/>
            <w:sz w:val="28"/>
            <w:szCs w:val="28"/>
            <w:u w:val="none"/>
            <w:bdr w:val="none" w:sz="0" w:space="0" w:color="auto" w:frame="1"/>
          </w:rPr>
          <w:t>Lawsuit Charges Housing Discrimination against African-Americans and People with Rental Subsidies</w:t>
        </w:r>
      </w:hyperlink>
    </w:p>
    <w:p w:rsidR="00D55C1B" w:rsidRPr="003E261A" w:rsidRDefault="00D55C1B" w:rsidP="00542E29">
      <w:pPr>
        <w:pStyle w:val="NormalWeb"/>
        <w:textAlignment w:val="baseline"/>
        <w:rPr>
          <w:rFonts w:ascii="Calibri" w:hAnsi="Calibri" w:cs="Arial"/>
          <w:color w:val="444444"/>
          <w:sz w:val="22"/>
          <w:szCs w:val="22"/>
        </w:rPr>
      </w:pPr>
      <w:r w:rsidRPr="003E261A">
        <w:rPr>
          <w:rFonts w:ascii="Calibri" w:hAnsi="Calibri" w:cs="Arial"/>
          <w:color w:val="444444"/>
          <w:sz w:val="22"/>
          <w:szCs w:val="22"/>
        </w:rPr>
        <w:t>MFY Legal Services is representing one of five plaintiffs in a</w:t>
      </w:r>
      <w:r w:rsidRPr="003E261A">
        <w:rPr>
          <w:rStyle w:val="apple-converted-space"/>
          <w:rFonts w:ascii="Calibri" w:hAnsi="Calibri" w:cs="Arial"/>
          <w:color w:val="444444"/>
          <w:sz w:val="22"/>
          <w:szCs w:val="22"/>
        </w:rPr>
        <w:t> </w:t>
      </w:r>
      <w:hyperlink r:id="rId9" w:history="1">
        <w:r w:rsidRPr="003E261A">
          <w:rPr>
            <w:rStyle w:val="Hyperlink"/>
            <w:rFonts w:ascii="Calibri" w:hAnsi="Calibri" w:cs="Arial"/>
            <w:b/>
            <w:bCs/>
            <w:color w:val="004ADB"/>
            <w:sz w:val="22"/>
            <w:szCs w:val="22"/>
            <w:u w:val="none"/>
            <w:bdr w:val="none" w:sz="0" w:space="0" w:color="auto" w:frame="1"/>
          </w:rPr>
          <w:t>federal fair housing lawsuit</w:t>
        </w:r>
      </w:hyperlink>
      <w:r w:rsidRPr="003E261A">
        <w:rPr>
          <w:rStyle w:val="apple-converted-space"/>
          <w:rFonts w:ascii="Calibri" w:hAnsi="Calibri" w:cs="Arial"/>
          <w:color w:val="444444"/>
          <w:sz w:val="22"/>
          <w:szCs w:val="22"/>
        </w:rPr>
        <w:t> </w:t>
      </w:r>
      <w:r w:rsidRPr="003E261A">
        <w:rPr>
          <w:rFonts w:ascii="Calibri" w:hAnsi="Calibri" w:cs="Arial"/>
          <w:color w:val="444444"/>
          <w:sz w:val="22"/>
          <w:szCs w:val="22"/>
        </w:rPr>
        <w:t xml:space="preserve">filed May 12, 2016 charging </w:t>
      </w:r>
      <w:r>
        <w:rPr>
          <w:rFonts w:ascii="Calibri" w:hAnsi="Calibri" w:cs="Arial"/>
          <w:color w:val="444444"/>
          <w:sz w:val="22"/>
          <w:szCs w:val="22"/>
        </w:rPr>
        <w:t xml:space="preserve">a Bronx landlord with </w:t>
      </w:r>
      <w:r w:rsidRPr="003E261A">
        <w:rPr>
          <w:rFonts w:ascii="Calibri" w:hAnsi="Calibri" w:cs="Arial"/>
          <w:color w:val="444444"/>
          <w:sz w:val="22"/>
          <w:szCs w:val="22"/>
        </w:rPr>
        <w:t>discrimination against African Americans and people with rental subsidies. The suit details testing done over six months by the</w:t>
      </w:r>
      <w:r>
        <w:rPr>
          <w:rFonts w:ascii="Calibri" w:hAnsi="Calibri" w:cs="Arial"/>
          <w:color w:val="444444"/>
          <w:sz w:val="22"/>
          <w:szCs w:val="22"/>
        </w:rPr>
        <w:t xml:space="preserve"> </w:t>
      </w:r>
      <w:hyperlink r:id="rId10" w:history="1">
        <w:r w:rsidRPr="003E261A">
          <w:rPr>
            <w:rStyle w:val="Hyperlink"/>
            <w:rFonts w:ascii="Calibri" w:hAnsi="Calibri" w:cs="Arial"/>
            <w:b/>
            <w:bCs/>
            <w:color w:val="004ADB"/>
            <w:sz w:val="22"/>
            <w:szCs w:val="22"/>
            <w:u w:val="none"/>
            <w:bdr w:val="none" w:sz="0" w:space="0" w:color="auto" w:frame="1"/>
          </w:rPr>
          <w:t>Fair Housing Justice Center</w:t>
        </w:r>
      </w:hyperlink>
      <w:r w:rsidRPr="003E261A">
        <w:rPr>
          <w:rFonts w:ascii="Calibri" w:hAnsi="Calibri" w:cs="Arial"/>
          <w:color w:val="444444"/>
          <w:sz w:val="22"/>
          <w:szCs w:val="22"/>
        </w:rPr>
        <w:t xml:space="preserve"> that show</w:t>
      </w:r>
      <w:r>
        <w:rPr>
          <w:rFonts w:ascii="Calibri" w:hAnsi="Calibri" w:cs="Arial"/>
          <w:color w:val="444444"/>
          <w:sz w:val="22"/>
          <w:szCs w:val="22"/>
        </w:rPr>
        <w:t>s</w:t>
      </w:r>
      <w:r w:rsidRPr="003E261A">
        <w:rPr>
          <w:rFonts w:ascii="Calibri" w:hAnsi="Calibri" w:cs="Arial"/>
          <w:color w:val="444444"/>
          <w:sz w:val="22"/>
          <w:szCs w:val="22"/>
        </w:rPr>
        <w:t xml:space="preserve"> a pattern of discrimination by </w:t>
      </w:r>
      <w:r>
        <w:rPr>
          <w:rFonts w:ascii="Calibri" w:hAnsi="Calibri" w:cs="Arial"/>
          <w:color w:val="444444"/>
          <w:sz w:val="22"/>
          <w:szCs w:val="22"/>
        </w:rPr>
        <w:t xml:space="preserve">the owner of 15 buildings in </w:t>
      </w:r>
      <w:r w:rsidRPr="00542E29">
        <w:rPr>
          <w:rFonts w:ascii="Calibri" w:hAnsi="Calibri" w:cs="Arial"/>
          <w:color w:val="444444"/>
          <w:sz w:val="22"/>
          <w:szCs w:val="22"/>
        </w:rPr>
        <w:t>the Bron</w:t>
      </w:r>
      <w:r>
        <w:rPr>
          <w:rFonts w:ascii="Calibri" w:hAnsi="Calibri" w:cs="Arial"/>
          <w:color w:val="444444"/>
          <w:sz w:val="22"/>
          <w:szCs w:val="22"/>
        </w:rPr>
        <w:t>x</w:t>
      </w:r>
      <w:r w:rsidRPr="003E261A">
        <w:rPr>
          <w:rFonts w:ascii="Calibri" w:hAnsi="Calibri" w:cs="Arial"/>
          <w:color w:val="444444"/>
          <w:sz w:val="22"/>
          <w:szCs w:val="22"/>
        </w:rPr>
        <w:t xml:space="preserve">. The lawsuit alleges that </w:t>
      </w:r>
      <w:r>
        <w:rPr>
          <w:rFonts w:ascii="Calibri" w:hAnsi="Calibri" w:cs="Arial"/>
          <w:color w:val="444444"/>
          <w:sz w:val="22"/>
          <w:szCs w:val="22"/>
        </w:rPr>
        <w:t>the landlord’s</w:t>
      </w:r>
      <w:r w:rsidRPr="003E261A">
        <w:rPr>
          <w:rFonts w:ascii="Calibri" w:hAnsi="Calibri" w:cs="Arial"/>
          <w:color w:val="444444"/>
          <w:sz w:val="22"/>
          <w:szCs w:val="22"/>
        </w:rPr>
        <w:t xml:space="preserve"> refusal to rent to African Americans and people with rental subsidies constitutes discrimination based on race and source of income in violation of the NYC Human Rights Law and the federal Fair Housing Act. Emery Celli Brinkerhoff &amp; Abady LLP is representing </w:t>
      </w:r>
      <w:r>
        <w:rPr>
          <w:rFonts w:ascii="Calibri" w:hAnsi="Calibri" w:cs="Arial"/>
          <w:color w:val="444444"/>
          <w:sz w:val="22"/>
          <w:szCs w:val="22"/>
        </w:rPr>
        <w:t xml:space="preserve">the other </w:t>
      </w:r>
      <w:r w:rsidRPr="003E261A">
        <w:rPr>
          <w:rFonts w:ascii="Calibri" w:hAnsi="Calibri" w:cs="Arial"/>
          <w:color w:val="444444"/>
          <w:sz w:val="22"/>
          <w:szCs w:val="22"/>
        </w:rPr>
        <w:t>plaintiffs.</w:t>
      </w:r>
    </w:p>
    <w:p w:rsidR="00D55C1B" w:rsidRDefault="00D55C1B" w:rsidP="004C28A9">
      <w:pPr>
        <w:pStyle w:val="owapara"/>
        <w:spacing w:after="140"/>
        <w:rPr>
          <w:rFonts w:ascii="Eras Demi ITC" w:hAnsi="Eras Demi ITC"/>
          <w:bCs/>
          <w:color w:val="C00000"/>
          <w:sz w:val="28"/>
          <w:szCs w:val="28"/>
        </w:rPr>
      </w:pPr>
    </w:p>
    <w:p w:rsidR="00D55C1B" w:rsidRDefault="00D55C1B" w:rsidP="004C28A9">
      <w:pPr>
        <w:pStyle w:val="owapara"/>
        <w:spacing w:after="140"/>
        <w:rPr>
          <w:rFonts w:ascii="Eras Demi ITC" w:hAnsi="Eras Demi ITC"/>
          <w:bCs/>
          <w:color w:val="C00000"/>
          <w:sz w:val="28"/>
          <w:szCs w:val="28"/>
        </w:rPr>
      </w:pPr>
    </w:p>
    <w:p w:rsidR="00D55C1B" w:rsidRDefault="00D55C1B" w:rsidP="004C28A9">
      <w:pPr>
        <w:pStyle w:val="owapara"/>
        <w:spacing w:after="140"/>
        <w:rPr>
          <w:rFonts w:ascii="Eras Demi ITC" w:hAnsi="Eras Demi ITC"/>
          <w:bCs/>
          <w:color w:val="C00000"/>
          <w:sz w:val="28"/>
          <w:szCs w:val="28"/>
        </w:rPr>
      </w:pPr>
    </w:p>
    <w:p w:rsidR="00D55C1B" w:rsidRDefault="00D55C1B" w:rsidP="00966B6B">
      <w:pPr>
        <w:rPr>
          <w:rFonts w:ascii="Eras Demi ITC" w:hAnsi="Eras Demi ITC"/>
          <w:color w:val="C00000"/>
          <w:sz w:val="28"/>
          <w:szCs w:val="72"/>
        </w:rPr>
      </w:pPr>
      <w:r w:rsidRPr="00296C5C">
        <w:rPr>
          <w:rFonts w:ascii="Eras Demi ITC" w:hAnsi="Eras Demi ITC"/>
          <w:color w:val="C00000"/>
          <w:sz w:val="28"/>
          <w:szCs w:val="72"/>
        </w:rPr>
        <w:t>MFY in the News . . .</w:t>
      </w:r>
    </w:p>
    <w:p w:rsidR="00D55C1B" w:rsidRPr="00E12953" w:rsidRDefault="00D55C1B" w:rsidP="00966B6B">
      <w:pPr>
        <w:rPr>
          <w:rFonts w:ascii="Eras Demi ITC" w:hAnsi="Eras Demi ITC"/>
          <w:color w:val="C00000"/>
          <w:sz w:val="14"/>
          <w:szCs w:val="72"/>
        </w:rPr>
      </w:pPr>
    </w:p>
    <w:p w:rsidR="00D55C1B" w:rsidRDefault="00D55C1B" w:rsidP="00966B6B">
      <w:pPr>
        <w:rPr>
          <w:rFonts w:ascii="Calibri" w:hAnsi="Calibri"/>
          <w:color w:val="000000"/>
          <w:sz w:val="22"/>
          <w:szCs w:val="22"/>
        </w:rPr>
      </w:pPr>
      <w:r>
        <w:rPr>
          <w:rFonts w:ascii="Calibri" w:hAnsi="Calibri"/>
          <w:color w:val="000000"/>
          <w:sz w:val="22"/>
          <w:szCs w:val="22"/>
        </w:rPr>
        <w:t xml:space="preserve">MFY Staff Attorney Andrew Darcy is quoted in the </w:t>
      </w:r>
      <w:hyperlink r:id="rId11" w:history="1">
        <w:r w:rsidRPr="008457BD">
          <w:rPr>
            <w:rStyle w:val="Hyperlink"/>
            <w:rFonts w:ascii="Calibri" w:hAnsi="Calibri"/>
            <w:sz w:val="22"/>
            <w:szCs w:val="22"/>
          </w:rPr>
          <w:t>Norwood News’ article</w:t>
        </w:r>
      </w:hyperlink>
      <w:r>
        <w:rPr>
          <w:rFonts w:ascii="Calibri" w:hAnsi="Calibri"/>
          <w:color w:val="000000"/>
          <w:sz w:val="22"/>
          <w:szCs w:val="22"/>
        </w:rPr>
        <w:t xml:space="preserve"> on residents’ struggle to preserve the </w:t>
      </w:r>
      <w:smartTag w:uri="urn:schemas-microsoft-com:office:smarttags" w:element="place">
        <w:r>
          <w:rPr>
            <w:rFonts w:ascii="Calibri" w:hAnsi="Calibri"/>
            <w:color w:val="000000"/>
            <w:sz w:val="22"/>
            <w:szCs w:val="22"/>
          </w:rPr>
          <w:t>Bedford</w:t>
        </w:r>
      </w:smartTag>
      <w:r>
        <w:rPr>
          <w:rFonts w:ascii="Calibri" w:hAnsi="Calibri"/>
          <w:color w:val="000000"/>
          <w:sz w:val="22"/>
          <w:szCs w:val="22"/>
        </w:rPr>
        <w:t xml:space="preserve"> </w:t>
      </w:r>
      <w:smartTag w:uri="urn:schemas-microsoft-com:office:smarttags" w:element="place">
        <w:r>
          <w:rPr>
            <w:rFonts w:ascii="Calibri" w:hAnsi="Calibri"/>
            <w:color w:val="000000"/>
            <w:sz w:val="22"/>
            <w:szCs w:val="22"/>
          </w:rPr>
          <w:t>Park</w:t>
        </w:r>
      </w:smartTag>
      <w:r>
        <w:rPr>
          <w:rFonts w:ascii="Calibri" w:hAnsi="Calibri"/>
          <w:color w:val="000000"/>
          <w:sz w:val="22"/>
          <w:szCs w:val="22"/>
        </w:rPr>
        <w:t xml:space="preserve"> area of the </w:t>
      </w:r>
      <w:smartTag w:uri="urn:schemas-microsoft-com:office:smarttags" w:element="place">
        <w:r>
          <w:rPr>
            <w:rFonts w:ascii="Calibri" w:hAnsi="Calibri"/>
            <w:color w:val="000000"/>
            <w:sz w:val="22"/>
            <w:szCs w:val="22"/>
          </w:rPr>
          <w:t>Bronx</w:t>
        </w:r>
      </w:smartTag>
      <w:r>
        <w:rPr>
          <w:rFonts w:ascii="Calibri" w:hAnsi="Calibri"/>
          <w:color w:val="000000"/>
          <w:sz w:val="22"/>
          <w:szCs w:val="22"/>
        </w:rPr>
        <w:t>.</w:t>
      </w:r>
    </w:p>
    <w:p w:rsidR="00D55C1B" w:rsidRDefault="00D55C1B" w:rsidP="00966B6B">
      <w:pPr>
        <w:rPr>
          <w:rFonts w:ascii="Calibri" w:hAnsi="Calibri"/>
          <w:color w:val="000000"/>
          <w:sz w:val="22"/>
          <w:szCs w:val="22"/>
        </w:rPr>
      </w:pPr>
    </w:p>
    <w:p w:rsidR="00D55C1B" w:rsidRPr="00375F01" w:rsidRDefault="00D55C1B" w:rsidP="00966B6B">
      <w:pPr>
        <w:rPr>
          <w:rStyle w:val="Hyperlink"/>
          <w:rFonts w:ascii="Calibri" w:hAnsi="Calibri"/>
          <w:sz w:val="22"/>
          <w:szCs w:val="22"/>
          <w:u w:val="none"/>
        </w:rPr>
      </w:pPr>
      <w:r w:rsidRPr="00A206E6">
        <w:rPr>
          <w:rFonts w:ascii="Calibri" w:hAnsi="Calibri"/>
        </w:rPr>
        <w:t xml:space="preserve">More coverage of the Prospect Park Residence settlement in </w:t>
      </w:r>
      <w:hyperlink r:id="rId12" w:history="1">
        <w:r w:rsidRPr="00A206E6">
          <w:rPr>
            <w:rStyle w:val="Hyperlink"/>
            <w:rFonts w:ascii="Calibri" w:hAnsi="Calibri"/>
            <w:sz w:val="22"/>
            <w:szCs w:val="22"/>
          </w:rPr>
          <w:t>The Brooklyn Paper</w:t>
        </w:r>
      </w:hyperlink>
      <w:r w:rsidRPr="00A206E6">
        <w:rPr>
          <w:rFonts w:ascii="Calibri" w:hAnsi="Calibri"/>
          <w:color w:val="000000"/>
          <w:sz w:val="22"/>
          <w:szCs w:val="22"/>
        </w:rPr>
        <w:t xml:space="preserve">, </w:t>
      </w:r>
      <w:hyperlink r:id="rId13" w:history="1">
        <w:r w:rsidRPr="00A206E6">
          <w:rPr>
            <w:rStyle w:val="Hyperlink"/>
            <w:rFonts w:ascii="Calibri" w:hAnsi="Calibri"/>
            <w:sz w:val="22"/>
            <w:szCs w:val="22"/>
          </w:rPr>
          <w:t>DNAinfo</w:t>
        </w:r>
      </w:hyperlink>
      <w:r w:rsidRPr="00A206E6">
        <w:rPr>
          <w:rFonts w:ascii="Calibri" w:hAnsi="Calibri"/>
          <w:color w:val="000000"/>
          <w:sz w:val="22"/>
          <w:szCs w:val="22"/>
        </w:rPr>
        <w:t xml:space="preserve">, </w:t>
      </w:r>
      <w:hyperlink r:id="rId14" w:history="1">
        <w:r w:rsidRPr="00A206E6">
          <w:rPr>
            <w:rStyle w:val="Hyperlink"/>
            <w:rFonts w:ascii="Calibri" w:hAnsi="Calibri"/>
            <w:sz w:val="22"/>
            <w:szCs w:val="22"/>
          </w:rPr>
          <w:t>Associated</w:t>
        </w:r>
        <w:r w:rsidRPr="00A206E6">
          <w:rPr>
            <w:rStyle w:val="Hyperlink"/>
            <w:rFonts w:ascii="Calibri" w:hAnsi="Calibri"/>
            <w:sz w:val="22"/>
            <w:szCs w:val="22"/>
          </w:rPr>
          <w:t xml:space="preserve"> </w:t>
        </w:r>
        <w:r w:rsidRPr="00A206E6">
          <w:rPr>
            <w:rStyle w:val="Hyperlink"/>
            <w:rFonts w:ascii="Calibri" w:hAnsi="Calibri"/>
            <w:sz w:val="22"/>
            <w:szCs w:val="22"/>
          </w:rPr>
          <w:t>Press</w:t>
        </w:r>
      </w:hyperlink>
      <w:r w:rsidR="00375F01">
        <w:rPr>
          <w:rStyle w:val="Hyperlink"/>
          <w:rFonts w:ascii="Calibri" w:hAnsi="Calibri"/>
          <w:sz w:val="22"/>
          <w:szCs w:val="22"/>
        </w:rPr>
        <w:t xml:space="preserve">, </w:t>
      </w:r>
      <w:r w:rsidR="00375F01">
        <w:rPr>
          <w:rStyle w:val="Hyperlink"/>
          <w:rFonts w:ascii="Calibri" w:hAnsi="Calibri"/>
          <w:sz w:val="22"/>
          <w:szCs w:val="22"/>
          <w:u w:val="none"/>
        </w:rPr>
        <w:t xml:space="preserve">and </w:t>
      </w:r>
      <w:hyperlink r:id="rId15" w:history="1">
        <w:r w:rsidR="00375F01" w:rsidRPr="00375F01">
          <w:rPr>
            <w:rStyle w:val="Hyperlink"/>
            <w:rFonts w:ascii="Calibri" w:hAnsi="Calibri"/>
            <w:sz w:val="22"/>
            <w:szCs w:val="22"/>
          </w:rPr>
          <w:t>WPIX</w:t>
        </w:r>
      </w:hyperlink>
      <w:r w:rsidR="00375F01">
        <w:rPr>
          <w:rStyle w:val="Hyperlink"/>
          <w:rFonts w:ascii="Calibri" w:hAnsi="Calibri"/>
          <w:sz w:val="22"/>
          <w:szCs w:val="22"/>
          <w:u w:val="none"/>
        </w:rPr>
        <w:t>.</w:t>
      </w:r>
    </w:p>
    <w:p w:rsidR="00375F01" w:rsidRDefault="00375F01" w:rsidP="00966B6B">
      <w:pPr>
        <w:rPr>
          <w:rStyle w:val="Hyperlink"/>
          <w:rFonts w:ascii="Calibri" w:hAnsi="Calibri"/>
          <w:sz w:val="22"/>
          <w:szCs w:val="22"/>
        </w:rPr>
      </w:pPr>
    </w:p>
    <w:p w:rsidR="00375F01" w:rsidRPr="00375F01" w:rsidRDefault="00375F01" w:rsidP="00966B6B">
      <w:pPr>
        <w:rPr>
          <w:rFonts w:ascii="Calibri" w:hAnsi="Calibri"/>
          <w:color w:val="000000"/>
          <w:sz w:val="22"/>
          <w:szCs w:val="22"/>
        </w:rPr>
      </w:pPr>
    </w:p>
    <w:p w:rsidR="00D55C1B" w:rsidRDefault="00D55C1B" w:rsidP="00164113">
      <w:pPr>
        <w:jc w:val="right"/>
        <w:rPr>
          <w:sz w:val="14"/>
        </w:rPr>
      </w:pPr>
    </w:p>
    <w:sectPr w:rsidR="00D55C1B" w:rsidSect="00814C40">
      <w:pgSz w:w="12240" w:h="15840" w:code="1"/>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ras Demi ITC">
    <w:altName w:val="Sitka Small"/>
    <w:panose1 w:val="020B0805030504020804"/>
    <w:charset w:val="00"/>
    <w:family w:val="swiss"/>
    <w:pitch w:val="variable"/>
    <w:sig w:usb0="00000003" w:usb1="00000000" w:usb2="00000000" w:usb3="00000000" w:csb0="00000001" w:csb1="00000000"/>
  </w:font>
  <w:font w:name="Eras Light ITC">
    <w:altName w:val="Lucida Sans Unicode"/>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6B"/>
    <w:rsid w:val="000174DB"/>
    <w:rsid w:val="000275CC"/>
    <w:rsid w:val="0002766A"/>
    <w:rsid w:val="00045A05"/>
    <w:rsid w:val="00057E94"/>
    <w:rsid w:val="00081D25"/>
    <w:rsid w:val="000831E0"/>
    <w:rsid w:val="000A5E5D"/>
    <w:rsid w:val="000B27C8"/>
    <w:rsid w:val="000B4E31"/>
    <w:rsid w:val="000B50C8"/>
    <w:rsid w:val="000B687C"/>
    <w:rsid w:val="000C7E98"/>
    <w:rsid w:val="000D585D"/>
    <w:rsid w:val="00120F25"/>
    <w:rsid w:val="00127932"/>
    <w:rsid w:val="001314E9"/>
    <w:rsid w:val="00164113"/>
    <w:rsid w:val="001669A5"/>
    <w:rsid w:val="001A74D9"/>
    <w:rsid w:val="001C09AE"/>
    <w:rsid w:val="001E121E"/>
    <w:rsid w:val="001E410B"/>
    <w:rsid w:val="001F079C"/>
    <w:rsid w:val="00215614"/>
    <w:rsid w:val="00223BCC"/>
    <w:rsid w:val="00227D56"/>
    <w:rsid w:val="00257010"/>
    <w:rsid w:val="002770E6"/>
    <w:rsid w:val="00282464"/>
    <w:rsid w:val="00296C5C"/>
    <w:rsid w:val="002A12F2"/>
    <w:rsid w:val="002B49A9"/>
    <w:rsid w:val="002D6CA4"/>
    <w:rsid w:val="002E4729"/>
    <w:rsid w:val="00303F0B"/>
    <w:rsid w:val="0030482C"/>
    <w:rsid w:val="00370907"/>
    <w:rsid w:val="00375F01"/>
    <w:rsid w:val="003946A8"/>
    <w:rsid w:val="003B27E4"/>
    <w:rsid w:val="003D0B22"/>
    <w:rsid w:val="003D28EB"/>
    <w:rsid w:val="003E261A"/>
    <w:rsid w:val="003F4F1D"/>
    <w:rsid w:val="003F7A7E"/>
    <w:rsid w:val="00410FE6"/>
    <w:rsid w:val="0042692C"/>
    <w:rsid w:val="00431BF7"/>
    <w:rsid w:val="00434F72"/>
    <w:rsid w:val="00443150"/>
    <w:rsid w:val="004738E1"/>
    <w:rsid w:val="004869B5"/>
    <w:rsid w:val="00494AA2"/>
    <w:rsid w:val="004960D8"/>
    <w:rsid w:val="004A4D65"/>
    <w:rsid w:val="004B6BF3"/>
    <w:rsid w:val="004C28A9"/>
    <w:rsid w:val="005109C9"/>
    <w:rsid w:val="00523ED0"/>
    <w:rsid w:val="005371F4"/>
    <w:rsid w:val="00542E29"/>
    <w:rsid w:val="00564E93"/>
    <w:rsid w:val="005903A9"/>
    <w:rsid w:val="005C0BBB"/>
    <w:rsid w:val="00610C43"/>
    <w:rsid w:val="00637812"/>
    <w:rsid w:val="00641D02"/>
    <w:rsid w:val="00656DA1"/>
    <w:rsid w:val="00657CE2"/>
    <w:rsid w:val="0066532C"/>
    <w:rsid w:val="0068740C"/>
    <w:rsid w:val="006A14A1"/>
    <w:rsid w:val="006B21DF"/>
    <w:rsid w:val="006B62EE"/>
    <w:rsid w:val="006C6490"/>
    <w:rsid w:val="006C64C8"/>
    <w:rsid w:val="006E1049"/>
    <w:rsid w:val="006F2259"/>
    <w:rsid w:val="00710AA8"/>
    <w:rsid w:val="00721533"/>
    <w:rsid w:val="00722D51"/>
    <w:rsid w:val="007273F2"/>
    <w:rsid w:val="007530C8"/>
    <w:rsid w:val="00783AD2"/>
    <w:rsid w:val="0078752A"/>
    <w:rsid w:val="007C52B3"/>
    <w:rsid w:val="007E7361"/>
    <w:rsid w:val="007F49B1"/>
    <w:rsid w:val="00814C40"/>
    <w:rsid w:val="0082451D"/>
    <w:rsid w:val="008255CC"/>
    <w:rsid w:val="008457BD"/>
    <w:rsid w:val="008548ED"/>
    <w:rsid w:val="008722EF"/>
    <w:rsid w:val="00880BD2"/>
    <w:rsid w:val="008C2770"/>
    <w:rsid w:val="008D4D12"/>
    <w:rsid w:val="00902F11"/>
    <w:rsid w:val="009039E6"/>
    <w:rsid w:val="0091531F"/>
    <w:rsid w:val="00925FE9"/>
    <w:rsid w:val="00934774"/>
    <w:rsid w:val="0095123F"/>
    <w:rsid w:val="00964064"/>
    <w:rsid w:val="00966B6B"/>
    <w:rsid w:val="00984209"/>
    <w:rsid w:val="0099098A"/>
    <w:rsid w:val="0099218F"/>
    <w:rsid w:val="00993875"/>
    <w:rsid w:val="009A738C"/>
    <w:rsid w:val="009D7621"/>
    <w:rsid w:val="009E6C01"/>
    <w:rsid w:val="009E72FF"/>
    <w:rsid w:val="009F6A81"/>
    <w:rsid w:val="00A05B22"/>
    <w:rsid w:val="00A14241"/>
    <w:rsid w:val="00A206E6"/>
    <w:rsid w:val="00A346A8"/>
    <w:rsid w:val="00A36A11"/>
    <w:rsid w:val="00A47BCF"/>
    <w:rsid w:val="00A5040E"/>
    <w:rsid w:val="00A53392"/>
    <w:rsid w:val="00A74849"/>
    <w:rsid w:val="00A8316D"/>
    <w:rsid w:val="00A90EFE"/>
    <w:rsid w:val="00A955F9"/>
    <w:rsid w:val="00AA38D3"/>
    <w:rsid w:val="00AA7C4A"/>
    <w:rsid w:val="00AB21A3"/>
    <w:rsid w:val="00AD43D9"/>
    <w:rsid w:val="00AE60B0"/>
    <w:rsid w:val="00AF0325"/>
    <w:rsid w:val="00B04D36"/>
    <w:rsid w:val="00B04E47"/>
    <w:rsid w:val="00B0676F"/>
    <w:rsid w:val="00B15A7E"/>
    <w:rsid w:val="00B23E0B"/>
    <w:rsid w:val="00B66132"/>
    <w:rsid w:val="00B81615"/>
    <w:rsid w:val="00BA7D46"/>
    <w:rsid w:val="00BB16B1"/>
    <w:rsid w:val="00BF37C4"/>
    <w:rsid w:val="00C06E43"/>
    <w:rsid w:val="00C246CB"/>
    <w:rsid w:val="00C34A4E"/>
    <w:rsid w:val="00C37769"/>
    <w:rsid w:val="00C44772"/>
    <w:rsid w:val="00C46E96"/>
    <w:rsid w:val="00C62239"/>
    <w:rsid w:val="00CB226E"/>
    <w:rsid w:val="00CC215B"/>
    <w:rsid w:val="00CC3569"/>
    <w:rsid w:val="00CC5DF6"/>
    <w:rsid w:val="00CD2F46"/>
    <w:rsid w:val="00CE226C"/>
    <w:rsid w:val="00D00DFB"/>
    <w:rsid w:val="00D148D4"/>
    <w:rsid w:val="00D158B4"/>
    <w:rsid w:val="00D2552A"/>
    <w:rsid w:val="00D34FA7"/>
    <w:rsid w:val="00D45AB9"/>
    <w:rsid w:val="00D55C1B"/>
    <w:rsid w:val="00D67B4F"/>
    <w:rsid w:val="00D82441"/>
    <w:rsid w:val="00DA42F8"/>
    <w:rsid w:val="00DC3C62"/>
    <w:rsid w:val="00DF3231"/>
    <w:rsid w:val="00DF5811"/>
    <w:rsid w:val="00E113A2"/>
    <w:rsid w:val="00E12953"/>
    <w:rsid w:val="00E36D51"/>
    <w:rsid w:val="00E40273"/>
    <w:rsid w:val="00E4506E"/>
    <w:rsid w:val="00E61FE5"/>
    <w:rsid w:val="00E733C1"/>
    <w:rsid w:val="00E90864"/>
    <w:rsid w:val="00EA4E01"/>
    <w:rsid w:val="00EE21E1"/>
    <w:rsid w:val="00F717F6"/>
    <w:rsid w:val="00F763F3"/>
    <w:rsid w:val="00F95B03"/>
    <w:rsid w:val="00F97908"/>
    <w:rsid w:val="00F97FA9"/>
    <w:rsid w:val="00FA02D6"/>
    <w:rsid w:val="00FB2B47"/>
    <w:rsid w:val="00FB568B"/>
    <w:rsid w:val="00FB7036"/>
    <w:rsid w:val="00FF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8"/>
    <o:shapelayout v:ext="edit">
      <o:idmap v:ext="edit" data="1"/>
    </o:shapelayout>
  </w:shapeDefaults>
  <w:decimalSymbol w:val="."/>
  <w:listSeparator w:val=","/>
  <w15:docId w15:val="{1EF02D87-F197-4FA6-AC28-E36E56A3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Calibri" w:hAnsi="Garamond"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B22"/>
    <w:rPr>
      <w:sz w:val="24"/>
      <w:szCs w:val="24"/>
    </w:rPr>
  </w:style>
  <w:style w:type="paragraph" w:styleId="Heading1">
    <w:name w:val="heading 1"/>
    <w:basedOn w:val="Normal"/>
    <w:link w:val="Heading1Char"/>
    <w:uiPriority w:val="99"/>
    <w:qFormat/>
    <w:rsid w:val="0030482C"/>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482C"/>
    <w:rPr>
      <w:rFonts w:ascii="Times New Roman" w:hAnsi="Times New Roman" w:cs="Times New Roman"/>
      <w:b/>
      <w:bCs/>
      <w:kern w:val="36"/>
      <w:sz w:val="48"/>
      <w:szCs w:val="48"/>
    </w:rPr>
  </w:style>
  <w:style w:type="character" w:styleId="Hyperlink">
    <w:name w:val="Hyperlink"/>
    <w:basedOn w:val="DefaultParagraphFont"/>
    <w:uiPriority w:val="99"/>
    <w:rsid w:val="008D4D12"/>
    <w:rPr>
      <w:rFonts w:cs="Times New Roman"/>
      <w:color w:val="0563C1"/>
      <w:u w:val="single"/>
    </w:rPr>
  </w:style>
  <w:style w:type="character" w:styleId="FollowedHyperlink">
    <w:name w:val="FollowedHyperlink"/>
    <w:basedOn w:val="DefaultParagraphFont"/>
    <w:uiPriority w:val="99"/>
    <w:semiHidden/>
    <w:rsid w:val="008D4D12"/>
    <w:rPr>
      <w:rFonts w:cs="Times New Roman"/>
      <w:color w:val="954F72"/>
      <w:u w:val="single"/>
    </w:rPr>
  </w:style>
  <w:style w:type="paragraph" w:styleId="BalloonText">
    <w:name w:val="Balloon Text"/>
    <w:basedOn w:val="Normal"/>
    <w:link w:val="BalloonTextChar"/>
    <w:uiPriority w:val="99"/>
    <w:semiHidden/>
    <w:rsid w:val="00057E9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57E94"/>
    <w:rPr>
      <w:rFonts w:ascii="Segoe UI" w:hAnsi="Segoe UI" w:cs="Segoe UI"/>
      <w:sz w:val="18"/>
      <w:szCs w:val="18"/>
    </w:rPr>
  </w:style>
  <w:style w:type="paragraph" w:styleId="NormalWeb">
    <w:name w:val="Normal (Web)"/>
    <w:basedOn w:val="Normal"/>
    <w:uiPriority w:val="99"/>
    <w:semiHidden/>
    <w:rsid w:val="0030482C"/>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uiPriority w:val="99"/>
    <w:rsid w:val="00FF01C2"/>
    <w:rPr>
      <w:rFonts w:cs="Times New Roman"/>
    </w:rPr>
  </w:style>
  <w:style w:type="paragraph" w:customStyle="1" w:styleId="owapara">
    <w:name w:val="owapara"/>
    <w:basedOn w:val="Normal"/>
    <w:uiPriority w:val="99"/>
    <w:rsid w:val="006E1049"/>
    <w:rPr>
      <w:rFonts w:ascii="Times New Roman" w:hAnsi="Times New Roman"/>
    </w:rPr>
  </w:style>
  <w:style w:type="character" w:styleId="CommentReference">
    <w:name w:val="annotation reference"/>
    <w:basedOn w:val="DefaultParagraphFont"/>
    <w:uiPriority w:val="99"/>
    <w:semiHidden/>
    <w:rsid w:val="004A4D65"/>
    <w:rPr>
      <w:rFonts w:cs="Times New Roman"/>
      <w:sz w:val="16"/>
      <w:szCs w:val="16"/>
    </w:rPr>
  </w:style>
  <w:style w:type="paragraph" w:styleId="CommentText">
    <w:name w:val="annotation text"/>
    <w:basedOn w:val="Normal"/>
    <w:link w:val="CommentTextChar"/>
    <w:uiPriority w:val="99"/>
    <w:semiHidden/>
    <w:rsid w:val="004A4D65"/>
    <w:rPr>
      <w:sz w:val="20"/>
      <w:szCs w:val="20"/>
    </w:rPr>
  </w:style>
  <w:style w:type="character" w:customStyle="1" w:styleId="CommentTextChar">
    <w:name w:val="Comment Text Char"/>
    <w:basedOn w:val="DefaultParagraphFont"/>
    <w:link w:val="CommentText"/>
    <w:uiPriority w:val="99"/>
    <w:semiHidden/>
    <w:locked/>
    <w:rsid w:val="004A4D65"/>
    <w:rPr>
      <w:rFonts w:cs="Times New Roman"/>
      <w:sz w:val="20"/>
      <w:szCs w:val="20"/>
    </w:rPr>
  </w:style>
  <w:style w:type="paragraph" w:styleId="CommentSubject">
    <w:name w:val="annotation subject"/>
    <w:basedOn w:val="CommentText"/>
    <w:next w:val="CommentText"/>
    <w:link w:val="CommentSubjectChar"/>
    <w:uiPriority w:val="99"/>
    <w:semiHidden/>
    <w:rsid w:val="004A4D65"/>
    <w:rPr>
      <w:b/>
      <w:bCs/>
    </w:rPr>
  </w:style>
  <w:style w:type="character" w:customStyle="1" w:styleId="CommentSubjectChar">
    <w:name w:val="Comment Subject Char"/>
    <w:basedOn w:val="CommentTextChar"/>
    <w:link w:val="CommentSubject"/>
    <w:uiPriority w:val="99"/>
    <w:semiHidden/>
    <w:locked/>
    <w:rsid w:val="004A4D65"/>
    <w:rPr>
      <w:rFonts w:cs="Times New Roman"/>
      <w:b/>
      <w:bCs/>
      <w:sz w:val="20"/>
      <w:szCs w:val="20"/>
    </w:rPr>
  </w:style>
  <w:style w:type="character" w:styleId="Emphasis">
    <w:name w:val="Emphasis"/>
    <w:basedOn w:val="DefaultParagraphFont"/>
    <w:uiPriority w:val="99"/>
    <w:qFormat/>
    <w:rsid w:val="004C28A9"/>
    <w:rPr>
      <w:rFonts w:cs="Times New Roman"/>
      <w:i/>
      <w:iCs/>
    </w:rPr>
  </w:style>
  <w:style w:type="character" w:customStyle="1" w:styleId="entry-utility-prep">
    <w:name w:val="entry-utility-prep"/>
    <w:basedOn w:val="DefaultParagraphFont"/>
    <w:uiPriority w:val="99"/>
    <w:rsid w:val="003E261A"/>
    <w:rPr>
      <w:rFonts w:cs="Times New Roman"/>
    </w:rPr>
  </w:style>
  <w:style w:type="paragraph" w:styleId="Revision">
    <w:name w:val="Revision"/>
    <w:hidden/>
    <w:uiPriority w:val="99"/>
    <w:semiHidden/>
    <w:rsid w:val="00375F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751081">
      <w:marLeft w:val="0"/>
      <w:marRight w:val="0"/>
      <w:marTop w:val="0"/>
      <w:marBottom w:val="0"/>
      <w:divBdr>
        <w:top w:val="none" w:sz="0" w:space="0" w:color="auto"/>
        <w:left w:val="none" w:sz="0" w:space="0" w:color="auto"/>
        <w:bottom w:val="none" w:sz="0" w:space="0" w:color="auto"/>
        <w:right w:val="none" w:sz="0" w:space="0" w:color="auto"/>
      </w:divBdr>
      <w:divsChild>
        <w:div w:id="1309751083">
          <w:marLeft w:val="0"/>
          <w:marRight w:val="0"/>
          <w:marTop w:val="0"/>
          <w:marBottom w:val="0"/>
          <w:divBdr>
            <w:top w:val="none" w:sz="0" w:space="0" w:color="auto"/>
            <w:left w:val="none" w:sz="0" w:space="0" w:color="auto"/>
            <w:bottom w:val="none" w:sz="0" w:space="0" w:color="auto"/>
            <w:right w:val="none" w:sz="0" w:space="0" w:color="auto"/>
          </w:divBdr>
        </w:div>
      </w:divsChild>
    </w:div>
    <w:div w:id="1309751082">
      <w:marLeft w:val="0"/>
      <w:marRight w:val="0"/>
      <w:marTop w:val="0"/>
      <w:marBottom w:val="0"/>
      <w:divBdr>
        <w:top w:val="none" w:sz="0" w:space="0" w:color="auto"/>
        <w:left w:val="none" w:sz="0" w:space="0" w:color="auto"/>
        <w:bottom w:val="none" w:sz="0" w:space="0" w:color="auto"/>
        <w:right w:val="none" w:sz="0" w:space="0" w:color="auto"/>
      </w:divBdr>
    </w:div>
    <w:div w:id="1309751084">
      <w:marLeft w:val="0"/>
      <w:marRight w:val="0"/>
      <w:marTop w:val="0"/>
      <w:marBottom w:val="0"/>
      <w:divBdr>
        <w:top w:val="none" w:sz="0" w:space="0" w:color="auto"/>
        <w:left w:val="none" w:sz="0" w:space="0" w:color="auto"/>
        <w:bottom w:val="none" w:sz="0" w:space="0" w:color="auto"/>
        <w:right w:val="none" w:sz="0" w:space="0" w:color="auto"/>
      </w:divBdr>
      <w:divsChild>
        <w:div w:id="1309751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fy.org/news-and-press/lawsuit-charges-housing-discrimination-against-african-americans-and-people-with-rental-subsidies/" TargetMode="External"/><Relationship Id="rId13" Type="http://schemas.openxmlformats.org/officeDocument/2006/relationships/hyperlink" Target="https://www.dnainfo.com/new-york/20160601/park-slope/seniors-fighting-eviction-get-335m-settlement-agree-move-out" TargetMode="External"/><Relationship Id="rId3" Type="http://schemas.openxmlformats.org/officeDocument/2006/relationships/webSettings" Target="webSettings.xml"/><Relationship Id="rId7" Type="http://schemas.openxmlformats.org/officeDocument/2006/relationships/hyperlink" Target="http://www.mfy.org/wp-content/uploads/Prospect-Park-Residence-5-31-16.pdf" TargetMode="External"/><Relationship Id="rId12" Type="http://schemas.openxmlformats.org/officeDocument/2006/relationships/hyperlink" Target="http://www.brooklynpaper.com/stories/39/23/dtg-propect-park-residence-settlement-2016-05-31-bk.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fy.org/wp-content/uploads/AAR-prelim-settlement-Pillsbury-Edits.pdf" TargetMode="External"/><Relationship Id="rId11" Type="http://schemas.openxmlformats.org/officeDocument/2006/relationships/hyperlink" Target="http://www.norwoodnews.org/id=21122&amp;story=residents-campaign-for-downzoning-to-preserve-bedford-park/" TargetMode="External"/><Relationship Id="rId5" Type="http://schemas.openxmlformats.org/officeDocument/2006/relationships/image" Target="media/image2.jpeg"/><Relationship Id="rId15" Type="http://schemas.openxmlformats.org/officeDocument/2006/relationships/hyperlink" Target="http://pix11.com/2016/06/01/prospect-park-senior-residents-reach-3-3-million-settlement-after-living-in-turmoil/" TargetMode="External"/><Relationship Id="rId10" Type="http://schemas.openxmlformats.org/officeDocument/2006/relationships/hyperlink" Target="http://www.fairhousingjustice.org/2016/05/12/opening-acts-may-12-2016/" TargetMode="External"/><Relationship Id="rId4" Type="http://schemas.openxmlformats.org/officeDocument/2006/relationships/image" Target="media/image1.jpeg"/><Relationship Id="rId9" Type="http://schemas.openxmlformats.org/officeDocument/2006/relationships/hyperlink" Target="http://www.mfy.org/wp-content/uploads/Nezaj.-Complaint-Dkt-1-5-12-16-00249932x9CCC2-Docketed-Complaint.pdf" TargetMode="External"/><Relationship Id="rId14" Type="http://schemas.openxmlformats.org/officeDocument/2006/relationships/hyperlink" Target="http://www.newstimes.com/news/us/article/Fight-over-assisted-living-home-closure-ends-in-7957067.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Schaefer</dc:creator>
  <cp:keywords/>
  <dc:description/>
  <cp:lastModifiedBy>Dolores Schaefer</cp:lastModifiedBy>
  <cp:revision>2</cp:revision>
  <cp:lastPrinted>2016-05-02T14:49:00Z</cp:lastPrinted>
  <dcterms:created xsi:type="dcterms:W3CDTF">2016-06-02T13:18:00Z</dcterms:created>
  <dcterms:modified xsi:type="dcterms:W3CDTF">2016-06-02T13:18:00Z</dcterms:modified>
</cp:coreProperties>
</file>