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34857" w14:textId="02EB15BA" w:rsidR="00B7588D" w:rsidRPr="006959A7" w:rsidRDefault="001E11BA" w:rsidP="00146AC0">
      <w:pPr>
        <w:suppressAutoHyphens/>
        <w:ind w:right="972"/>
        <w:rPr>
          <w:rStyle w:val="PageNumber"/>
          <w:rFonts w:cs="Times New Roman"/>
          <w:sz w:val="16"/>
          <w:szCs w:val="16"/>
        </w:rPr>
      </w:pPr>
      <w:r w:rsidRPr="006959A7">
        <w:rPr>
          <w:rStyle w:val="PageNumber"/>
          <w:rFonts w:cs="Times New Roman"/>
          <w:noProof/>
          <w:sz w:val="16"/>
          <w:szCs w:val="16"/>
        </w:rPr>
        <w:drawing>
          <wp:anchor distT="57150" distB="57150" distL="57150" distR="57150" simplePos="0" relativeHeight="251659264" behindDoc="0" locked="0" layoutInCell="1" allowOverlap="1" wp14:anchorId="1D4F832F" wp14:editId="1D855D0D">
            <wp:simplePos x="0" y="0"/>
            <wp:positionH relativeFrom="column">
              <wp:posOffset>-526475</wp:posOffset>
            </wp:positionH>
            <wp:positionV relativeFrom="line">
              <wp:posOffset>563</wp:posOffset>
            </wp:positionV>
            <wp:extent cx="685801" cy="680086"/>
            <wp:effectExtent l="0" t="0" r="0" b="0"/>
            <wp:wrapThrough wrapText="bothSides" distL="57150" distR="57150">
              <wp:wrapPolygon edited="1">
                <wp:start x="0" y="0"/>
                <wp:lineTo x="0" y="21605"/>
                <wp:lineTo x="21600" y="21605"/>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eg"/>
                    <pic:cNvPicPr>
                      <a:picLocks noChangeAspect="1"/>
                    </pic:cNvPicPr>
                  </pic:nvPicPr>
                  <pic:blipFill>
                    <a:blip r:embed="rId8">
                      <a:extLst/>
                    </a:blip>
                    <a:srcRect l="11943" t="8033" r="11286" b="14913"/>
                    <a:stretch>
                      <a:fillRect/>
                    </a:stretch>
                  </pic:blipFill>
                  <pic:spPr>
                    <a:xfrm>
                      <a:off x="0" y="0"/>
                      <a:ext cx="685801" cy="680086"/>
                    </a:xfrm>
                    <a:prstGeom prst="rect">
                      <a:avLst/>
                    </a:prstGeom>
                    <a:ln w="12700" cap="flat">
                      <a:noFill/>
                      <a:miter lim="400000"/>
                    </a:ln>
                    <a:effectLst/>
                  </pic:spPr>
                </pic:pic>
              </a:graphicData>
            </a:graphic>
          </wp:anchor>
        </w:drawing>
      </w:r>
      <w:r w:rsidR="00E76D25" w:rsidRPr="006959A7">
        <w:rPr>
          <w:rStyle w:val="PageNumber"/>
          <w:rFonts w:cs="Times New Roman"/>
          <w:noProof/>
          <w:sz w:val="16"/>
          <w:szCs w:val="16"/>
        </w:rPr>
        <mc:AlternateContent>
          <mc:Choice Requires="wps">
            <w:drawing>
              <wp:anchor distT="0" distB="0" distL="0" distR="0" simplePos="0" relativeHeight="251660288" behindDoc="0" locked="0" layoutInCell="1" allowOverlap="1" wp14:anchorId="3BEE1D93" wp14:editId="1E60540C">
                <wp:simplePos x="0" y="0"/>
                <wp:positionH relativeFrom="column">
                  <wp:posOffset>217817</wp:posOffset>
                </wp:positionH>
                <wp:positionV relativeFrom="line">
                  <wp:posOffset>-170180</wp:posOffset>
                </wp:positionV>
                <wp:extent cx="6629400" cy="4572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629400" cy="457200"/>
                        </a:xfrm>
                        <a:prstGeom prst="rect">
                          <a:avLst/>
                        </a:prstGeom>
                        <a:noFill/>
                        <a:ln w="12700" cap="flat">
                          <a:noFill/>
                          <a:miter lim="400000"/>
                        </a:ln>
                        <a:effectLst/>
                      </wps:spPr>
                      <wps:txbx>
                        <w:txbxContent>
                          <w:p w14:paraId="5322D24C" w14:textId="77777777" w:rsidR="00B7588D" w:rsidRDefault="00E76D25">
                            <w:pPr>
                              <w:pStyle w:val="Title"/>
                              <w:ind w:right="180"/>
                              <w:jc w:val="left"/>
                            </w:pPr>
                            <w:r>
                              <w:rPr>
                                <w:rStyle w:val="PageNumber"/>
                                <w:b/>
                                <w:bCs/>
                                <w:i/>
                                <w:iCs/>
                                <w:smallCaps/>
                                <w:sz w:val="44"/>
                                <w:szCs w:val="44"/>
                              </w:rPr>
                              <w:t xml:space="preserve">New Yorkers for </w:t>
                            </w:r>
                            <w:r>
                              <w:rPr>
                                <w:rStyle w:val="PageNumber"/>
                                <w:b/>
                                <w:bCs/>
                                <w:i/>
                                <w:iCs/>
                                <w:smallCaps/>
                                <w:sz w:val="44"/>
                                <w:szCs w:val="44"/>
                              </w:rPr>
                              <w:t>Responsible Lending</w:t>
                            </w:r>
                          </w:p>
                        </w:txbxContent>
                      </wps:txbx>
                      <wps:bodyPr wrap="square" lIns="45718" tIns="45718" rIns="45718" bIns="45718" numCol="1" anchor="t">
                        <a:noAutofit/>
                      </wps:bodyPr>
                    </wps:wsp>
                  </a:graphicData>
                </a:graphic>
              </wp:anchor>
            </w:drawing>
          </mc:Choice>
          <mc:Fallback>
            <w:pict>
              <v:rect w14:anchorId="3BEE1D93" id="officeArt object" o:spid="_x0000_s1026" style="position:absolute;margin-left:17.15pt;margin-top:-13.4pt;width:522pt;height:36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" filled="f" stroked="f" strokeweight="1pt">
                <v:stroke miterlimit="4"/>
                <v:textbox inset="1.2699mm,1.2699mm,1.2699mm,1.2699mm">
                  <w:txbxContent>
                    <w:p w14:paraId="5322D24C" w14:textId="77777777" w:rsidR="00B7588D" w:rsidRDefault="00E76D25">
                      <w:pPr>
                        <w:pStyle w:val="Title"/>
                        <w:ind w:right="180"/>
                        <w:jc w:val="left"/>
                      </w:pPr>
                      <w:r>
                        <w:rPr>
                          <w:rStyle w:val="PageNumber"/>
                          <w:b/>
                          <w:bCs/>
                          <w:i/>
                          <w:iCs/>
                          <w:smallCaps/>
                          <w:sz w:val="44"/>
                          <w:szCs w:val="44"/>
                        </w:rPr>
                        <w:t xml:space="preserve">New Yorkers for </w:t>
                      </w:r>
                      <w:r>
                        <w:rPr>
                          <w:rStyle w:val="PageNumber"/>
                          <w:b/>
                          <w:bCs/>
                          <w:i/>
                          <w:iCs/>
                          <w:smallCaps/>
                          <w:sz w:val="44"/>
                          <w:szCs w:val="44"/>
                        </w:rPr>
                        <w:t>Responsible Lending</w:t>
                      </w:r>
                    </w:p>
                  </w:txbxContent>
                </v:textbox>
                <w10:wrap anchory="line"/>
              </v:rect>
            </w:pict>
          </mc:Fallback>
        </mc:AlternateContent>
      </w:r>
    </w:p>
    <w:p w14:paraId="255AFBA3" w14:textId="77777777" w:rsidR="00B7588D" w:rsidRPr="006959A7" w:rsidRDefault="00E76D25" w:rsidP="00146AC0">
      <w:pPr>
        <w:pStyle w:val="BodyText"/>
        <w:suppressAutoHyphens/>
        <w:ind w:right="972"/>
        <w:jc w:val="left"/>
        <w:rPr>
          <w:rStyle w:val="PageNumber"/>
          <w:rFonts w:ascii="Times New Roman" w:hAnsi="Times New Roman" w:cs="Times New Roman"/>
          <w:color w:val="6699FF"/>
          <w:sz w:val="16"/>
          <w:szCs w:val="16"/>
          <w:u w:color="6699FF"/>
        </w:rPr>
      </w:pPr>
      <w:r w:rsidRPr="006959A7">
        <w:rPr>
          <w:rStyle w:val="PageNumber"/>
          <w:rFonts w:ascii="Times New Roman" w:hAnsi="Times New Roman" w:cs="Times New Roman"/>
          <w:noProof/>
          <w:sz w:val="16"/>
          <w:szCs w:val="16"/>
        </w:rPr>
        <mc:AlternateContent>
          <mc:Choice Requires="wps">
            <w:drawing>
              <wp:anchor distT="0" distB="0" distL="0" distR="0" simplePos="0" relativeHeight="251657216" behindDoc="1" locked="0" layoutInCell="1" allowOverlap="1" wp14:anchorId="57BD24D2" wp14:editId="0E3A61C9">
                <wp:simplePos x="0" y="0"/>
                <wp:positionH relativeFrom="column">
                  <wp:posOffset>25400</wp:posOffset>
                </wp:positionH>
                <wp:positionV relativeFrom="line">
                  <wp:posOffset>107950</wp:posOffset>
                </wp:positionV>
                <wp:extent cx="5600701"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600701" cy="0"/>
                        </a:xfrm>
                        <a:prstGeom prst="line">
                          <a:avLst/>
                        </a:prstGeom>
                        <a:noFill/>
                        <a:ln w="25400" cap="flat">
                          <a:solidFill>
                            <a:srgbClr val="6699FF"/>
                          </a:solidFill>
                          <a:prstDash val="solid"/>
                          <a:round/>
                        </a:ln>
                        <a:effectLst/>
                      </wps:spPr>
                      <wps:bodyPr/>
                    </wps:wsp>
                  </a:graphicData>
                </a:graphic>
              </wp:anchor>
            </w:drawing>
          </mc:Choice>
          <mc:Fallback>
            <w:pict>
              <v:line id="_x0000_s1027" style="visibility:visible;position:absolute;margin-left:2.0pt;margin-top:8.5pt;width:441.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6699FF"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r w:rsidRPr="006959A7">
        <w:rPr>
          <w:rStyle w:val="PageNumber"/>
          <w:rFonts w:ascii="Times New Roman" w:hAnsi="Times New Roman" w:cs="Times New Roman"/>
          <w:color w:val="6699FF"/>
          <w:sz w:val="16"/>
          <w:szCs w:val="16"/>
          <w:u w:color="6699FF"/>
        </w:rPr>
        <w:tab/>
      </w:r>
    </w:p>
    <w:p w14:paraId="2E746160" w14:textId="77777777" w:rsidR="00252BDB" w:rsidRPr="006959A7" w:rsidRDefault="00252BDB" w:rsidP="00146AC0">
      <w:pPr>
        <w:pStyle w:val="Title"/>
        <w:suppressAutoHyphens/>
        <w:ind w:right="972"/>
        <w:jc w:val="left"/>
        <w:rPr>
          <w:rFonts w:ascii="Times New Roman" w:hAnsi="Times New Roman" w:cs="Times New Roman"/>
        </w:rPr>
      </w:pPr>
    </w:p>
    <w:p w14:paraId="41C86C74" w14:textId="77777777" w:rsidR="00252BDB" w:rsidRPr="006959A7" w:rsidRDefault="00252BDB" w:rsidP="00146AC0">
      <w:pPr>
        <w:suppressAutoHyphens/>
        <w:rPr>
          <w:rFonts w:cs="Times New Roman"/>
        </w:rPr>
      </w:pPr>
    </w:p>
    <w:p w14:paraId="40F56A0B" w14:textId="77777777" w:rsidR="00252BDB" w:rsidRPr="006959A7" w:rsidRDefault="00252BDB" w:rsidP="00146AC0">
      <w:pPr>
        <w:suppressAutoHyphens/>
        <w:rPr>
          <w:rFonts w:cs="Times New Roman"/>
        </w:rPr>
      </w:pPr>
    </w:p>
    <w:p w14:paraId="21F201EA" w14:textId="77777777" w:rsidR="00252BDB" w:rsidRPr="006959A7" w:rsidRDefault="00252BDB" w:rsidP="00146AC0">
      <w:pPr>
        <w:suppressAutoHyphens/>
        <w:rPr>
          <w:rFonts w:cs="Times New Roman"/>
        </w:rPr>
      </w:pPr>
    </w:p>
    <w:p w14:paraId="5C402049" w14:textId="77777777" w:rsidR="00252BDB" w:rsidRPr="006959A7" w:rsidRDefault="00252BDB" w:rsidP="00146AC0">
      <w:pPr>
        <w:suppressAutoHyphens/>
        <w:rPr>
          <w:rFonts w:cs="Times New Roman"/>
        </w:rPr>
      </w:pPr>
    </w:p>
    <w:p w14:paraId="232365CA" w14:textId="77777777" w:rsidR="00B7588D" w:rsidRPr="001E11BA" w:rsidRDefault="00E76D25" w:rsidP="00146AC0">
      <w:pPr>
        <w:suppressAutoHyphens/>
        <w:spacing w:line="276" w:lineRule="auto"/>
        <w:jc w:val="center"/>
        <w:rPr>
          <w:rFonts w:cs="Times New Roman"/>
          <w:sz w:val="28"/>
          <w:szCs w:val="28"/>
        </w:rPr>
      </w:pPr>
      <w:r w:rsidRPr="001E11BA">
        <w:rPr>
          <w:rFonts w:cs="Times New Roman"/>
          <w:sz w:val="28"/>
          <w:szCs w:val="28"/>
        </w:rPr>
        <w:t>TESTIMONY FOR A PUBLIC HEARING ON:</w:t>
      </w:r>
    </w:p>
    <w:p w14:paraId="2004C4FC" w14:textId="77777777" w:rsidR="00B7588D" w:rsidRPr="006959A7" w:rsidRDefault="00B7588D" w:rsidP="00146AC0">
      <w:pPr>
        <w:suppressAutoHyphens/>
        <w:spacing w:line="276" w:lineRule="auto"/>
        <w:rPr>
          <w:rFonts w:cs="Times New Roman"/>
        </w:rPr>
      </w:pPr>
    </w:p>
    <w:p w14:paraId="7205BFC6" w14:textId="77777777" w:rsidR="00B7588D" w:rsidRPr="006959A7" w:rsidRDefault="00E76D25" w:rsidP="00146AC0">
      <w:pPr>
        <w:suppressAutoHyphens/>
        <w:spacing w:line="276" w:lineRule="auto"/>
        <w:jc w:val="center"/>
        <w:rPr>
          <w:rFonts w:cs="Times New Roman"/>
        </w:rPr>
      </w:pPr>
      <w:r w:rsidRPr="006959A7">
        <w:rPr>
          <w:rStyle w:val="PageNumber"/>
          <w:rFonts w:cs="Times New Roman"/>
          <w:sz w:val="36"/>
          <w:szCs w:val="36"/>
        </w:rPr>
        <w:t>PRACTICES OF THE STUDENT LOAN INDUSTRY</w:t>
      </w:r>
    </w:p>
    <w:p w14:paraId="619B1307" w14:textId="77777777" w:rsidR="00B7588D" w:rsidRPr="006959A7" w:rsidRDefault="00B7588D" w:rsidP="00146AC0">
      <w:pPr>
        <w:suppressAutoHyphens/>
        <w:spacing w:line="276" w:lineRule="auto"/>
        <w:rPr>
          <w:rFonts w:cs="Times New Roman"/>
        </w:rPr>
      </w:pPr>
    </w:p>
    <w:p w14:paraId="1535D660" w14:textId="77777777" w:rsidR="00B7588D" w:rsidRPr="006959A7" w:rsidRDefault="00E76D25" w:rsidP="00146AC0">
      <w:pPr>
        <w:suppressAutoHyphens/>
        <w:spacing w:line="276" w:lineRule="auto"/>
        <w:jc w:val="center"/>
        <w:rPr>
          <w:rFonts w:cs="Times New Roman"/>
        </w:rPr>
      </w:pPr>
      <w:r w:rsidRPr="006959A7">
        <w:rPr>
          <w:rFonts w:cs="Times New Roman"/>
        </w:rPr>
        <w:t>PRESENTED BEFORE:</w:t>
      </w:r>
    </w:p>
    <w:p w14:paraId="4D6DEAC1" w14:textId="77777777" w:rsidR="00B7588D" w:rsidRPr="006959A7" w:rsidRDefault="00B7588D" w:rsidP="00146AC0">
      <w:pPr>
        <w:suppressAutoHyphens/>
        <w:spacing w:line="276" w:lineRule="auto"/>
        <w:jc w:val="center"/>
        <w:rPr>
          <w:rFonts w:cs="Times New Roman"/>
        </w:rPr>
      </w:pPr>
    </w:p>
    <w:p w14:paraId="0CD3CBB4" w14:textId="77777777" w:rsidR="00B7588D" w:rsidRPr="006959A7" w:rsidRDefault="00E76D25" w:rsidP="00146AC0">
      <w:pPr>
        <w:suppressAutoHyphens/>
        <w:spacing w:line="276" w:lineRule="auto"/>
        <w:jc w:val="center"/>
        <w:rPr>
          <w:rFonts w:cs="Times New Roman"/>
          <w:sz w:val="28"/>
          <w:szCs w:val="28"/>
        </w:rPr>
      </w:pPr>
      <w:r w:rsidRPr="006959A7">
        <w:rPr>
          <w:rFonts w:cs="Times New Roman"/>
          <w:sz w:val="28"/>
          <w:szCs w:val="28"/>
        </w:rPr>
        <w:t xml:space="preserve">ASSEMBLY STANDING </w:t>
      </w:r>
      <w:r w:rsidRPr="006959A7">
        <w:rPr>
          <w:rFonts w:cs="Times New Roman"/>
          <w:sz w:val="28"/>
          <w:szCs w:val="28"/>
        </w:rPr>
        <w:t>COMMITTEE ON BANKS</w:t>
      </w:r>
    </w:p>
    <w:p w14:paraId="343A66D9" w14:textId="637036F2" w:rsidR="00252BDB" w:rsidRPr="006959A7" w:rsidRDefault="00E76D25" w:rsidP="00146AC0">
      <w:pPr>
        <w:suppressAutoHyphens/>
        <w:spacing w:line="276" w:lineRule="auto"/>
        <w:jc w:val="center"/>
        <w:rPr>
          <w:rFonts w:cs="Times New Roman"/>
          <w:sz w:val="28"/>
          <w:szCs w:val="28"/>
        </w:rPr>
      </w:pPr>
      <w:r w:rsidRPr="006959A7">
        <w:rPr>
          <w:rFonts w:cs="Times New Roman"/>
          <w:sz w:val="28"/>
          <w:szCs w:val="28"/>
        </w:rPr>
        <w:t>ASSEMBLY STANDING COMMITTEE ON CONSUMER AFFAIRS</w:t>
      </w:r>
      <w:r>
        <w:rPr>
          <w:rFonts w:cs="Times New Roman"/>
          <w:sz w:val="28"/>
          <w:szCs w:val="28"/>
        </w:rPr>
        <w:t xml:space="preserve"> AND</w:t>
      </w:r>
      <w:bookmarkStart w:id="0" w:name="_GoBack"/>
      <w:bookmarkEnd w:id="0"/>
      <w:r w:rsidRPr="006959A7">
        <w:rPr>
          <w:rFonts w:cs="Times New Roman"/>
          <w:sz w:val="28"/>
          <w:szCs w:val="28"/>
        </w:rPr>
        <w:t xml:space="preserve"> PROTECTION</w:t>
      </w:r>
    </w:p>
    <w:p w14:paraId="3F885DFC" w14:textId="77777777" w:rsidR="00252BDB" w:rsidRPr="006959A7" w:rsidRDefault="00252BDB" w:rsidP="00146AC0">
      <w:pPr>
        <w:suppressAutoHyphens/>
        <w:spacing w:line="276" w:lineRule="auto"/>
        <w:jc w:val="center"/>
        <w:rPr>
          <w:rFonts w:cs="Times New Roman"/>
          <w:sz w:val="28"/>
          <w:szCs w:val="28"/>
        </w:rPr>
      </w:pPr>
    </w:p>
    <w:p w14:paraId="6D8A6D80" w14:textId="77777777" w:rsidR="00252BDB" w:rsidRPr="006959A7" w:rsidRDefault="00252BDB" w:rsidP="00146AC0">
      <w:pPr>
        <w:suppressAutoHyphens/>
        <w:spacing w:line="276" w:lineRule="auto"/>
        <w:jc w:val="center"/>
        <w:rPr>
          <w:rFonts w:cs="Times New Roman"/>
          <w:sz w:val="28"/>
          <w:szCs w:val="28"/>
        </w:rPr>
      </w:pPr>
      <w:r w:rsidRPr="006959A7">
        <w:rPr>
          <w:rFonts w:cs="Times New Roman"/>
          <w:sz w:val="28"/>
          <w:szCs w:val="28"/>
        </w:rPr>
        <w:t>PRESENTED BY:</w:t>
      </w:r>
    </w:p>
    <w:p w14:paraId="7297C959" w14:textId="77777777" w:rsidR="00252BDB" w:rsidRPr="006959A7" w:rsidRDefault="00252BDB" w:rsidP="00146AC0">
      <w:pPr>
        <w:suppressAutoHyphens/>
        <w:spacing w:line="276" w:lineRule="auto"/>
        <w:jc w:val="center"/>
        <w:rPr>
          <w:rFonts w:cs="Times New Roman"/>
          <w:sz w:val="28"/>
          <w:szCs w:val="28"/>
        </w:rPr>
      </w:pPr>
    </w:p>
    <w:p w14:paraId="4414534B" w14:textId="77777777" w:rsidR="00B7588D" w:rsidRPr="006959A7" w:rsidRDefault="00252BDB" w:rsidP="00146AC0">
      <w:pPr>
        <w:suppressAutoHyphens/>
        <w:spacing w:line="276" w:lineRule="auto"/>
        <w:jc w:val="center"/>
        <w:rPr>
          <w:rFonts w:cs="Times New Roman"/>
          <w:sz w:val="28"/>
          <w:szCs w:val="28"/>
        </w:rPr>
      </w:pPr>
      <w:r w:rsidRPr="006959A7">
        <w:rPr>
          <w:rFonts w:cs="Times New Roman"/>
          <w:sz w:val="28"/>
          <w:szCs w:val="28"/>
        </w:rPr>
        <w:t>EVAN DENERSTEIN</w:t>
      </w:r>
    </w:p>
    <w:p w14:paraId="5ACC36BE" w14:textId="77777777" w:rsidR="00252BDB" w:rsidRPr="006959A7" w:rsidRDefault="00252BDB" w:rsidP="00146AC0">
      <w:pPr>
        <w:suppressAutoHyphens/>
        <w:spacing w:line="276" w:lineRule="auto"/>
        <w:jc w:val="center"/>
        <w:rPr>
          <w:rFonts w:cs="Times New Roman"/>
          <w:sz w:val="28"/>
          <w:szCs w:val="28"/>
        </w:rPr>
      </w:pPr>
      <w:r w:rsidRPr="006959A7">
        <w:rPr>
          <w:rFonts w:cs="Times New Roman"/>
          <w:sz w:val="28"/>
          <w:szCs w:val="28"/>
        </w:rPr>
        <w:t xml:space="preserve">MOBILIZATION FOR JUSTICE, INC. </w:t>
      </w:r>
    </w:p>
    <w:p w14:paraId="675CF056" w14:textId="77777777" w:rsidR="00B7588D" w:rsidRPr="006959A7" w:rsidRDefault="00B7588D" w:rsidP="00146AC0">
      <w:pPr>
        <w:suppressAutoHyphens/>
        <w:spacing w:line="276" w:lineRule="auto"/>
        <w:jc w:val="center"/>
        <w:rPr>
          <w:rFonts w:cs="Times New Roman"/>
          <w:sz w:val="28"/>
          <w:szCs w:val="28"/>
        </w:rPr>
      </w:pPr>
    </w:p>
    <w:p w14:paraId="737D00DC" w14:textId="77777777" w:rsidR="00B7588D" w:rsidRPr="006959A7" w:rsidRDefault="00E76D25" w:rsidP="00146AC0">
      <w:pPr>
        <w:suppressAutoHyphens/>
        <w:spacing w:line="276" w:lineRule="auto"/>
        <w:jc w:val="center"/>
        <w:rPr>
          <w:rFonts w:cs="Times New Roman"/>
          <w:sz w:val="28"/>
          <w:szCs w:val="28"/>
        </w:rPr>
      </w:pPr>
      <w:r w:rsidRPr="006959A7">
        <w:rPr>
          <w:rFonts w:cs="Times New Roman"/>
          <w:sz w:val="28"/>
          <w:szCs w:val="28"/>
        </w:rPr>
        <w:t>November 27, 2018</w:t>
      </w:r>
    </w:p>
    <w:p w14:paraId="1D96EE29" w14:textId="77777777" w:rsidR="00B7588D" w:rsidRPr="006959A7" w:rsidRDefault="00B7588D" w:rsidP="00146AC0">
      <w:pPr>
        <w:suppressAutoHyphens/>
        <w:spacing w:line="276" w:lineRule="auto"/>
        <w:rPr>
          <w:rFonts w:cs="Times New Roman"/>
          <w:sz w:val="28"/>
          <w:szCs w:val="28"/>
        </w:rPr>
      </w:pPr>
    </w:p>
    <w:p w14:paraId="423B66A6" w14:textId="77777777" w:rsidR="00B7588D" w:rsidRPr="006959A7" w:rsidRDefault="00B7588D" w:rsidP="00146AC0">
      <w:pPr>
        <w:suppressAutoHyphens/>
        <w:spacing w:line="276" w:lineRule="auto"/>
        <w:rPr>
          <w:rFonts w:cs="Times New Roman"/>
        </w:rPr>
      </w:pPr>
    </w:p>
    <w:p w14:paraId="7BDDBA47" w14:textId="77777777" w:rsidR="00B7588D" w:rsidRPr="006959A7" w:rsidRDefault="00B7588D" w:rsidP="00146AC0">
      <w:pPr>
        <w:suppressAutoHyphens/>
        <w:spacing w:line="276" w:lineRule="auto"/>
        <w:rPr>
          <w:rFonts w:cs="Times New Roman"/>
        </w:rPr>
      </w:pPr>
    </w:p>
    <w:p w14:paraId="04403D0B" w14:textId="77777777" w:rsidR="00B7588D" w:rsidRPr="006959A7" w:rsidRDefault="00B7588D" w:rsidP="00146AC0">
      <w:pPr>
        <w:suppressAutoHyphens/>
        <w:spacing w:line="276" w:lineRule="auto"/>
        <w:rPr>
          <w:rFonts w:cs="Times New Roman"/>
        </w:rPr>
      </w:pPr>
    </w:p>
    <w:p w14:paraId="2F727D3A" w14:textId="77777777" w:rsidR="00B7588D" w:rsidRPr="006959A7" w:rsidRDefault="00B7588D" w:rsidP="00146AC0">
      <w:pPr>
        <w:suppressAutoHyphens/>
        <w:spacing w:line="276" w:lineRule="auto"/>
        <w:rPr>
          <w:rFonts w:cs="Times New Roman"/>
        </w:rPr>
      </w:pPr>
    </w:p>
    <w:p w14:paraId="563AF6AE" w14:textId="77777777" w:rsidR="00B7588D" w:rsidRPr="006959A7" w:rsidRDefault="00B7588D" w:rsidP="00146AC0">
      <w:pPr>
        <w:suppressAutoHyphens/>
        <w:spacing w:line="276" w:lineRule="auto"/>
        <w:rPr>
          <w:rFonts w:cs="Times New Roman"/>
        </w:rPr>
      </w:pPr>
    </w:p>
    <w:p w14:paraId="2F165E88" w14:textId="77777777" w:rsidR="00B7588D" w:rsidRPr="006959A7" w:rsidRDefault="00B7588D" w:rsidP="00146AC0">
      <w:pPr>
        <w:suppressAutoHyphens/>
        <w:spacing w:line="276" w:lineRule="auto"/>
        <w:rPr>
          <w:rFonts w:cs="Times New Roman"/>
        </w:rPr>
      </w:pPr>
    </w:p>
    <w:p w14:paraId="083561C6" w14:textId="77777777" w:rsidR="00B7588D" w:rsidRPr="006959A7" w:rsidRDefault="00B7588D" w:rsidP="00146AC0">
      <w:pPr>
        <w:suppressAutoHyphens/>
        <w:spacing w:line="276" w:lineRule="auto"/>
        <w:rPr>
          <w:rFonts w:cs="Times New Roman"/>
        </w:rPr>
      </w:pPr>
    </w:p>
    <w:p w14:paraId="02F49EA8" w14:textId="77777777" w:rsidR="00B7588D" w:rsidRPr="006959A7" w:rsidRDefault="00B7588D" w:rsidP="00146AC0">
      <w:pPr>
        <w:suppressAutoHyphens/>
        <w:spacing w:line="276" w:lineRule="auto"/>
        <w:rPr>
          <w:rFonts w:cs="Times New Roman"/>
        </w:rPr>
      </w:pPr>
    </w:p>
    <w:p w14:paraId="7D774F92" w14:textId="77777777" w:rsidR="00B7588D" w:rsidRPr="006959A7" w:rsidRDefault="00B7588D" w:rsidP="00146AC0">
      <w:pPr>
        <w:suppressAutoHyphens/>
        <w:spacing w:line="276" w:lineRule="auto"/>
        <w:rPr>
          <w:rFonts w:cs="Times New Roman"/>
        </w:rPr>
      </w:pPr>
    </w:p>
    <w:p w14:paraId="65348B40" w14:textId="77777777" w:rsidR="00B7588D" w:rsidRPr="006959A7" w:rsidRDefault="00B7588D" w:rsidP="00146AC0">
      <w:pPr>
        <w:suppressAutoHyphens/>
        <w:spacing w:line="276" w:lineRule="auto"/>
        <w:rPr>
          <w:rFonts w:cs="Times New Roman"/>
        </w:rPr>
      </w:pPr>
    </w:p>
    <w:p w14:paraId="2BCF06B8" w14:textId="77777777" w:rsidR="00B7588D" w:rsidRPr="006959A7" w:rsidRDefault="00B7588D" w:rsidP="00146AC0">
      <w:pPr>
        <w:suppressAutoHyphens/>
        <w:spacing w:line="276" w:lineRule="auto"/>
        <w:rPr>
          <w:rFonts w:cs="Times New Roman"/>
        </w:rPr>
      </w:pPr>
    </w:p>
    <w:p w14:paraId="40418CF9" w14:textId="77777777" w:rsidR="00B7588D" w:rsidRPr="006959A7" w:rsidRDefault="00B7588D" w:rsidP="00146AC0">
      <w:pPr>
        <w:suppressAutoHyphens/>
        <w:spacing w:line="276" w:lineRule="auto"/>
        <w:rPr>
          <w:rFonts w:cs="Times New Roman"/>
        </w:rPr>
      </w:pPr>
    </w:p>
    <w:p w14:paraId="2DC9F4EA" w14:textId="77777777" w:rsidR="00B7588D" w:rsidRPr="006959A7" w:rsidRDefault="00B7588D" w:rsidP="00146AC0">
      <w:pPr>
        <w:suppressAutoHyphens/>
        <w:spacing w:line="276" w:lineRule="auto"/>
        <w:rPr>
          <w:rFonts w:cs="Times New Roman"/>
        </w:rPr>
      </w:pPr>
    </w:p>
    <w:p w14:paraId="37C58149" w14:textId="77777777" w:rsidR="00B7588D" w:rsidRPr="006959A7" w:rsidRDefault="00B7588D" w:rsidP="00146AC0">
      <w:pPr>
        <w:suppressAutoHyphens/>
        <w:spacing w:line="276" w:lineRule="auto"/>
        <w:rPr>
          <w:rFonts w:cs="Times New Roman"/>
        </w:rPr>
      </w:pPr>
    </w:p>
    <w:p w14:paraId="2EFDA3EA" w14:textId="77777777" w:rsidR="00B7588D" w:rsidRPr="006959A7" w:rsidRDefault="00B7588D" w:rsidP="00146AC0">
      <w:pPr>
        <w:suppressAutoHyphens/>
        <w:spacing w:line="276" w:lineRule="auto"/>
        <w:rPr>
          <w:rFonts w:cs="Times New Roman"/>
        </w:rPr>
      </w:pPr>
    </w:p>
    <w:p w14:paraId="53860C0B" w14:textId="77777777" w:rsidR="00B7588D" w:rsidRPr="006959A7" w:rsidRDefault="00B7588D" w:rsidP="00146AC0">
      <w:pPr>
        <w:suppressAutoHyphens/>
        <w:spacing w:line="276" w:lineRule="auto"/>
        <w:rPr>
          <w:rFonts w:cs="Times New Roman"/>
        </w:rPr>
      </w:pPr>
    </w:p>
    <w:p w14:paraId="5888D923" w14:textId="77777777" w:rsidR="00B7588D" w:rsidRPr="006959A7" w:rsidRDefault="00B7588D" w:rsidP="00146AC0">
      <w:pPr>
        <w:suppressAutoHyphens/>
        <w:spacing w:line="276" w:lineRule="auto"/>
        <w:rPr>
          <w:rFonts w:cs="Times New Roman"/>
        </w:rPr>
      </w:pPr>
    </w:p>
    <w:p w14:paraId="14FEF713" w14:textId="77777777" w:rsidR="00B7588D" w:rsidRPr="006959A7" w:rsidRDefault="00B7588D" w:rsidP="00146AC0">
      <w:pPr>
        <w:suppressAutoHyphens/>
        <w:spacing w:line="276" w:lineRule="auto"/>
        <w:rPr>
          <w:rFonts w:cs="Times New Roman"/>
        </w:rPr>
      </w:pPr>
    </w:p>
    <w:p w14:paraId="145941D6" w14:textId="77777777" w:rsidR="00B7588D" w:rsidRPr="006959A7" w:rsidRDefault="00B7588D" w:rsidP="00146AC0">
      <w:pPr>
        <w:suppressAutoHyphens/>
        <w:spacing w:line="276" w:lineRule="auto"/>
        <w:rPr>
          <w:rFonts w:cs="Times New Roman"/>
        </w:rPr>
      </w:pPr>
    </w:p>
    <w:p w14:paraId="3F3F6F7B" w14:textId="77777777" w:rsidR="00B7588D" w:rsidRPr="006959A7" w:rsidRDefault="00B7588D" w:rsidP="00146AC0">
      <w:pPr>
        <w:suppressAutoHyphens/>
        <w:spacing w:line="276" w:lineRule="auto"/>
        <w:rPr>
          <w:rFonts w:cs="Times New Roman"/>
        </w:rPr>
      </w:pPr>
    </w:p>
    <w:p w14:paraId="7FA4991F" w14:textId="77777777" w:rsidR="00B7588D" w:rsidRPr="006959A7" w:rsidRDefault="00B7588D" w:rsidP="00146AC0">
      <w:pPr>
        <w:suppressAutoHyphens/>
        <w:spacing w:line="276" w:lineRule="auto"/>
        <w:rPr>
          <w:rFonts w:cs="Times New Roman"/>
        </w:rPr>
      </w:pPr>
    </w:p>
    <w:p w14:paraId="6893397D" w14:textId="77777777" w:rsidR="00B7588D" w:rsidRPr="006959A7" w:rsidRDefault="00B7588D" w:rsidP="00146AC0">
      <w:pPr>
        <w:suppressAutoHyphens/>
        <w:spacing w:line="276" w:lineRule="auto"/>
        <w:rPr>
          <w:rFonts w:cs="Times New Roman"/>
        </w:rPr>
      </w:pPr>
    </w:p>
    <w:p w14:paraId="17E83825" w14:textId="77777777" w:rsidR="00B94B50" w:rsidRDefault="00B94B50" w:rsidP="00146AC0">
      <w:pPr>
        <w:pStyle w:val="ListParagraph"/>
        <w:numPr>
          <w:ilvl w:val="0"/>
          <w:numId w:val="1"/>
        </w:numPr>
        <w:suppressAutoHyphens/>
        <w:spacing w:line="276" w:lineRule="auto"/>
        <w:rPr>
          <w:rFonts w:cs="Times New Roman"/>
        </w:rPr>
      </w:pPr>
      <w:r>
        <w:rPr>
          <w:rFonts w:cs="Times New Roman"/>
        </w:rPr>
        <w:t>Introduction</w:t>
      </w:r>
    </w:p>
    <w:p w14:paraId="25BFCABD" w14:textId="77777777" w:rsidR="00B94B50" w:rsidRDefault="00B94B50" w:rsidP="00146AC0">
      <w:pPr>
        <w:suppressAutoHyphens/>
        <w:spacing w:line="276" w:lineRule="auto"/>
        <w:rPr>
          <w:rFonts w:cs="Times New Roman"/>
        </w:rPr>
      </w:pPr>
    </w:p>
    <w:p w14:paraId="7BD2AE78" w14:textId="42BE90FF" w:rsidR="00252BDB" w:rsidRPr="00B94B50" w:rsidRDefault="006959A7" w:rsidP="00146AC0">
      <w:pPr>
        <w:suppressAutoHyphens/>
        <w:spacing w:line="276" w:lineRule="auto"/>
        <w:rPr>
          <w:rFonts w:cs="Times New Roman"/>
        </w:rPr>
      </w:pPr>
      <w:r w:rsidRPr="00B94B50">
        <w:rPr>
          <w:rFonts w:cs="Times New Roman"/>
        </w:rPr>
        <w:t>T</w:t>
      </w:r>
      <w:r w:rsidR="00252BDB" w:rsidRPr="00B94B50">
        <w:rPr>
          <w:rFonts w:cs="Times New Roman"/>
        </w:rPr>
        <w:t xml:space="preserve">his testimony is </w:t>
      </w:r>
      <w:r w:rsidR="001E11BA" w:rsidRPr="00B94B50">
        <w:rPr>
          <w:rFonts w:cs="Times New Roman"/>
        </w:rPr>
        <w:t xml:space="preserve">submitted </w:t>
      </w:r>
      <w:r w:rsidR="00252BDB" w:rsidRPr="00B94B50">
        <w:rPr>
          <w:rFonts w:cs="Times New Roman"/>
        </w:rPr>
        <w:t>on behalf of New Yorkers for Responsible Lending (NYRL)</w:t>
      </w:r>
      <w:r w:rsidR="001E11BA" w:rsidRPr="00B94B50">
        <w:rPr>
          <w:rFonts w:cs="Times New Roman"/>
        </w:rPr>
        <w:t>,</w:t>
      </w:r>
      <w:r w:rsidR="00252BDB" w:rsidRPr="00B94B50">
        <w:rPr>
          <w:rFonts w:cs="Times New Roman"/>
        </w:rPr>
        <w:t xml:space="preserve"> a 164-member coalition that promotes access to fair and affordable financial services and the preservation of assets for all New Yorkers and their communities. NYRL members represent community development financial institutions, community-based organizations, affordable housing groups, consumer advocacy groups, and advocates for seniors, legal services organizations, housing counselors, community reinvestment, fair lending, and labor groups.  </w:t>
      </w:r>
    </w:p>
    <w:p w14:paraId="5C7C1938" w14:textId="77777777" w:rsidR="00252BDB" w:rsidRPr="006959A7" w:rsidRDefault="00252BDB" w:rsidP="00146AC0">
      <w:pPr>
        <w:suppressAutoHyphens/>
        <w:spacing w:line="276" w:lineRule="auto"/>
        <w:rPr>
          <w:rFonts w:cs="Times New Roman"/>
        </w:rPr>
      </w:pPr>
    </w:p>
    <w:p w14:paraId="1FE05B47" w14:textId="2937B628" w:rsidR="00252BDB" w:rsidRPr="006959A7" w:rsidRDefault="000F7221" w:rsidP="00146AC0">
      <w:pPr>
        <w:suppressAutoHyphens/>
        <w:spacing w:line="276" w:lineRule="auto"/>
        <w:rPr>
          <w:rFonts w:cs="Times New Roman"/>
        </w:rPr>
      </w:pPr>
      <w:r w:rsidRPr="003B37E8">
        <w:rPr>
          <w:rFonts w:cs="Times New Roman"/>
        </w:rPr>
        <w:t>M</w:t>
      </w:r>
      <w:r>
        <w:rPr>
          <w:rFonts w:cs="Times New Roman"/>
        </w:rPr>
        <w:t>obilization for Justice (formerly MFY Legal Services), which is a member of NYRL,</w:t>
      </w:r>
      <w:r w:rsidRPr="003B37E8">
        <w:rPr>
          <w:rFonts w:cs="Times New Roman"/>
        </w:rPr>
        <w:t xml:space="preserve"> envisions a society in which there is equal justice for all.  Our mission is to achieve social justice, prioritizing the needs of people who are low-income, disenfranchised or have disabilities. We do this through providing the highest quality direct civil legal assistance, providing community education, entering into partnerships, engaging in policy advocacy, and bringing impact litigation.  We assist more than </w:t>
      </w:r>
      <w:r>
        <w:rPr>
          <w:rFonts w:cs="Times New Roman"/>
        </w:rPr>
        <w:t>12</w:t>
      </w:r>
      <w:r w:rsidRPr="003B37E8">
        <w:rPr>
          <w:rFonts w:cs="Times New Roman"/>
        </w:rPr>
        <w:t>,000 New Yorkers each year</w:t>
      </w:r>
      <w:r>
        <w:rPr>
          <w:rFonts w:cs="Times New Roman"/>
        </w:rPr>
        <w:t>, benefitting over 25,000</w:t>
      </w:r>
      <w:r w:rsidRPr="003B37E8">
        <w:rPr>
          <w:rFonts w:cs="Times New Roman"/>
        </w:rPr>
        <w:t>.</w:t>
      </w:r>
      <w:r>
        <w:rPr>
          <w:rFonts w:cs="Times New Roman"/>
        </w:rPr>
        <w:t xml:space="preserve">  </w:t>
      </w:r>
      <w:r w:rsidR="00252BDB" w:rsidRPr="006959A7">
        <w:rPr>
          <w:rFonts w:cs="Times New Roman"/>
        </w:rPr>
        <w:t>MFJ’s Consumer Rights Project provides advice, counsel and representation to low-income New Yorkers o</w:t>
      </w:r>
      <w:r w:rsidR="00252BDB" w:rsidRPr="006959A7">
        <w:rPr>
          <w:rFonts w:cs="Times New Roman"/>
        </w:rPr>
        <w:t xml:space="preserve">n consumer problems, including </w:t>
      </w:r>
      <w:r w:rsidR="00252BDB" w:rsidRPr="006959A7">
        <w:rPr>
          <w:rFonts w:cs="Times New Roman"/>
        </w:rPr>
        <w:t xml:space="preserve">issues related to student loans and for-profit colleges.  </w:t>
      </w:r>
    </w:p>
    <w:p w14:paraId="7D1A75C7" w14:textId="77777777" w:rsidR="00252BDB" w:rsidRPr="006959A7" w:rsidRDefault="00252BDB" w:rsidP="00146AC0">
      <w:pPr>
        <w:suppressAutoHyphens/>
        <w:spacing w:line="276" w:lineRule="auto"/>
        <w:rPr>
          <w:rFonts w:cs="Times New Roman"/>
        </w:rPr>
      </w:pPr>
    </w:p>
    <w:p w14:paraId="7B253BF7" w14:textId="5953E6A2" w:rsidR="00B7588D" w:rsidRPr="006959A7" w:rsidRDefault="00252BDB" w:rsidP="00146AC0">
      <w:pPr>
        <w:suppressAutoHyphens/>
        <w:spacing w:line="276" w:lineRule="auto"/>
        <w:rPr>
          <w:rFonts w:cs="Times New Roman"/>
        </w:rPr>
      </w:pPr>
      <w:r w:rsidRPr="006959A7">
        <w:rPr>
          <w:rFonts w:cs="Times New Roman"/>
        </w:rPr>
        <w:t xml:space="preserve">NYRL </w:t>
      </w:r>
      <w:r w:rsidR="00E76D25" w:rsidRPr="006959A7">
        <w:rPr>
          <w:rFonts w:cs="Times New Roman"/>
        </w:rPr>
        <w:t xml:space="preserve">is grateful to </w:t>
      </w:r>
      <w:r w:rsidR="00E76D25" w:rsidRPr="006959A7">
        <w:rPr>
          <w:rFonts w:cs="Times New Roman"/>
        </w:rPr>
        <w:t>Assemblymember Zebrowski and Assemblymember Titone, and all members of Assembly Standing Committee on Banks and t</w:t>
      </w:r>
      <w:r w:rsidR="0009150B" w:rsidRPr="006959A7">
        <w:rPr>
          <w:rFonts w:cs="Times New Roman"/>
        </w:rPr>
        <w:t>he Assembly Standing Committee o</w:t>
      </w:r>
      <w:r w:rsidR="00E76D25" w:rsidRPr="006959A7">
        <w:rPr>
          <w:rFonts w:cs="Times New Roman"/>
        </w:rPr>
        <w:t xml:space="preserve">n Consumer Affairs Protection, for the opportunity to discuss </w:t>
      </w:r>
      <w:r w:rsidR="00B36142">
        <w:rPr>
          <w:rFonts w:cs="Times New Roman"/>
        </w:rPr>
        <w:t xml:space="preserve">student loans and </w:t>
      </w:r>
      <w:r w:rsidR="00E76D25" w:rsidRPr="006959A7">
        <w:rPr>
          <w:rFonts w:cs="Times New Roman"/>
        </w:rPr>
        <w:t>the student loan servicin</w:t>
      </w:r>
      <w:r w:rsidR="00E76D25" w:rsidRPr="006959A7">
        <w:rPr>
          <w:rFonts w:cs="Times New Roman"/>
        </w:rPr>
        <w:t>g industry. NYRL has supported</w:t>
      </w:r>
      <w:r w:rsidR="000F7221">
        <w:rPr>
          <w:rFonts w:cs="Times New Roman"/>
        </w:rPr>
        <w:t xml:space="preserve"> prior</w:t>
      </w:r>
      <w:r w:rsidR="00E76D25" w:rsidRPr="006959A7">
        <w:rPr>
          <w:rFonts w:cs="Times New Roman"/>
        </w:rPr>
        <w:t xml:space="preserve"> </w:t>
      </w:r>
      <w:r w:rsidR="00E76D25" w:rsidRPr="006959A7">
        <w:rPr>
          <w:rFonts w:cs="Times New Roman"/>
        </w:rPr>
        <w:lastRenderedPageBreak/>
        <w:t>l</w:t>
      </w:r>
      <w:r w:rsidR="0009150B" w:rsidRPr="006959A7">
        <w:rPr>
          <w:rFonts w:cs="Times New Roman"/>
        </w:rPr>
        <w:t>egislative and Executive Budge p</w:t>
      </w:r>
      <w:r w:rsidR="00E76D25" w:rsidRPr="006959A7">
        <w:rPr>
          <w:rFonts w:cs="Times New Roman"/>
        </w:rPr>
        <w:t xml:space="preserve">roposals to require student loan servicers to be licensed by the Department of Financial </w:t>
      </w:r>
      <w:r w:rsidR="00B36142">
        <w:rPr>
          <w:rFonts w:cs="Times New Roman"/>
        </w:rPr>
        <w:t>Services</w:t>
      </w:r>
      <w:r w:rsidR="00E76D25" w:rsidRPr="006959A7">
        <w:rPr>
          <w:rFonts w:cs="Times New Roman"/>
        </w:rPr>
        <w:t xml:space="preserve"> and set further standards and regulations for this industry. </w:t>
      </w:r>
      <w:r w:rsidR="00E76D25" w:rsidRPr="006959A7">
        <w:rPr>
          <w:rFonts w:cs="Times New Roman"/>
        </w:rPr>
        <w:t>O</w:t>
      </w:r>
      <w:r w:rsidR="00E76D25" w:rsidRPr="006959A7">
        <w:rPr>
          <w:rFonts w:cs="Times New Roman"/>
        </w:rPr>
        <w:t xml:space="preserve">ver the past two legislative sessions, </w:t>
      </w:r>
      <w:r w:rsidR="00B36142">
        <w:rPr>
          <w:rFonts w:cs="Times New Roman"/>
        </w:rPr>
        <w:t>memoranda</w:t>
      </w:r>
      <w:r w:rsidR="00E76D25" w:rsidRPr="006959A7">
        <w:rPr>
          <w:rFonts w:cs="Times New Roman"/>
        </w:rPr>
        <w:t xml:space="preserve"> of suppo</w:t>
      </w:r>
      <w:r w:rsidRPr="006959A7">
        <w:rPr>
          <w:rFonts w:cs="Times New Roman"/>
        </w:rPr>
        <w:t>rt have been submi</w:t>
      </w:r>
      <w:r w:rsidR="000162D0" w:rsidRPr="006959A7">
        <w:rPr>
          <w:rFonts w:cs="Times New Roman"/>
        </w:rPr>
        <w:t xml:space="preserve">tted by several of our members and other advocacy organizations, </w:t>
      </w:r>
      <w:r w:rsidRPr="006959A7">
        <w:rPr>
          <w:rFonts w:cs="Times New Roman"/>
        </w:rPr>
        <w:t xml:space="preserve">including: </w:t>
      </w:r>
      <w:r w:rsidR="000162D0" w:rsidRPr="006959A7">
        <w:rPr>
          <w:rFonts w:cs="Times New Roman"/>
        </w:rPr>
        <w:t xml:space="preserve">AARP; Brooklyn Volunteer Lawyers Project; </w:t>
      </w:r>
      <w:r w:rsidR="0009150B" w:rsidRPr="006959A7">
        <w:rPr>
          <w:rFonts w:cs="Times New Roman"/>
        </w:rPr>
        <w:t xml:space="preserve">American Debt Resources, Inc.; CAMBA; </w:t>
      </w:r>
      <w:r w:rsidR="000162D0" w:rsidRPr="006959A7">
        <w:rPr>
          <w:rFonts w:cs="Times New Roman"/>
        </w:rPr>
        <w:t xml:space="preserve">Center for Independence of the Disabled, NY; Center for Responsible Lending; the Civil Service Bar Association; </w:t>
      </w:r>
      <w:r w:rsidR="0009150B" w:rsidRPr="006959A7">
        <w:rPr>
          <w:rFonts w:cs="Times New Roman"/>
        </w:rPr>
        <w:t>D</w:t>
      </w:r>
      <w:r w:rsidR="00CE395F" w:rsidRPr="006959A7">
        <w:rPr>
          <w:rFonts w:cs="Times New Roman"/>
        </w:rPr>
        <w:t xml:space="preserve">istrict Counsel </w:t>
      </w:r>
      <w:r w:rsidR="0009150B" w:rsidRPr="006959A7">
        <w:rPr>
          <w:rFonts w:cs="Times New Roman"/>
        </w:rPr>
        <w:t>37</w:t>
      </w:r>
      <w:r w:rsidR="00CE395F" w:rsidRPr="006959A7">
        <w:rPr>
          <w:rFonts w:cs="Times New Roman"/>
        </w:rPr>
        <w:t xml:space="preserve"> (DC37)</w:t>
      </w:r>
      <w:r w:rsidR="0009150B" w:rsidRPr="006959A7">
        <w:rPr>
          <w:rFonts w:cs="Times New Roman"/>
        </w:rPr>
        <w:t xml:space="preserve">; </w:t>
      </w:r>
      <w:r w:rsidR="000162D0" w:rsidRPr="006959A7">
        <w:rPr>
          <w:rFonts w:cs="Times New Roman"/>
        </w:rPr>
        <w:t xml:space="preserve">Empire Justice Center; </w:t>
      </w:r>
      <w:r w:rsidR="0009150B" w:rsidRPr="006959A7">
        <w:rPr>
          <w:rFonts w:cs="Times New Roman"/>
        </w:rPr>
        <w:t xml:space="preserve">HomeSmartNY; La Fuerza Unida; </w:t>
      </w:r>
      <w:r w:rsidR="00CE395F" w:rsidRPr="006959A7">
        <w:rPr>
          <w:rFonts w:cs="Times New Roman"/>
        </w:rPr>
        <w:t xml:space="preserve">the Legal Aid Society; </w:t>
      </w:r>
      <w:r w:rsidR="0009150B" w:rsidRPr="006959A7">
        <w:rPr>
          <w:rFonts w:cs="Times New Roman"/>
        </w:rPr>
        <w:t>MFJ; New York Legal Assistance Group; New York Public Interest Research Group</w:t>
      </w:r>
      <w:r w:rsidR="00CE395F" w:rsidRPr="006959A7">
        <w:rPr>
          <w:rFonts w:cs="Times New Roman"/>
        </w:rPr>
        <w:t xml:space="preserve"> (NYPIRG)</w:t>
      </w:r>
      <w:r w:rsidR="0009150B" w:rsidRPr="006959A7">
        <w:rPr>
          <w:rFonts w:cs="Times New Roman"/>
        </w:rPr>
        <w:t xml:space="preserve">; </w:t>
      </w:r>
      <w:r w:rsidR="00CE395F" w:rsidRPr="006959A7">
        <w:rPr>
          <w:rFonts w:cs="Times New Roman"/>
        </w:rPr>
        <w:t>New York State United Teachers (NYSUT)</w:t>
      </w:r>
      <w:r w:rsidR="000162D0" w:rsidRPr="006959A7">
        <w:rPr>
          <w:rFonts w:cs="Times New Roman"/>
        </w:rPr>
        <w:t>;</w:t>
      </w:r>
      <w:r w:rsidR="00CD022C" w:rsidRPr="006959A7">
        <w:rPr>
          <w:rFonts w:cs="Times New Roman"/>
        </w:rPr>
        <w:t xml:space="preserve"> Pratt Area Community Council, Inc. dba IMPACCT Brooklyn;</w:t>
      </w:r>
      <w:r w:rsidR="000162D0" w:rsidRPr="006959A7">
        <w:rPr>
          <w:rFonts w:cs="Times New Roman"/>
        </w:rPr>
        <w:t xml:space="preserve"> Queens Volunteer Lawyers</w:t>
      </w:r>
      <w:r w:rsidR="00CD022C" w:rsidRPr="006959A7">
        <w:rPr>
          <w:rFonts w:cs="Times New Roman"/>
        </w:rPr>
        <w:t xml:space="preserve"> Project</w:t>
      </w:r>
      <w:r w:rsidR="000162D0" w:rsidRPr="006959A7">
        <w:rPr>
          <w:rFonts w:cs="Times New Roman"/>
        </w:rPr>
        <w:t xml:space="preserve">; Urban Justice Center; and Young </w:t>
      </w:r>
      <w:r w:rsidR="00CD022C" w:rsidRPr="006959A7">
        <w:rPr>
          <w:rFonts w:cs="Times New Roman"/>
        </w:rPr>
        <w:t>Invincibles</w:t>
      </w:r>
      <w:r w:rsidR="000162D0" w:rsidRPr="006959A7">
        <w:rPr>
          <w:rFonts w:cs="Times New Roman"/>
        </w:rPr>
        <w:t>.</w:t>
      </w:r>
    </w:p>
    <w:p w14:paraId="5E7A697E" w14:textId="77777777" w:rsidR="00B7588D" w:rsidRPr="006959A7" w:rsidRDefault="00B7588D" w:rsidP="00146AC0">
      <w:pPr>
        <w:suppressAutoHyphens/>
        <w:spacing w:line="276" w:lineRule="auto"/>
        <w:rPr>
          <w:rFonts w:cs="Times New Roman"/>
        </w:rPr>
      </w:pPr>
    </w:p>
    <w:p w14:paraId="192DDCDE" w14:textId="77777777" w:rsidR="00B7588D" w:rsidRPr="006959A7" w:rsidRDefault="00E76D25" w:rsidP="00146AC0">
      <w:pPr>
        <w:suppressAutoHyphens/>
        <w:spacing w:line="276" w:lineRule="auto"/>
        <w:rPr>
          <w:rFonts w:cs="Times New Roman"/>
        </w:rPr>
      </w:pPr>
      <w:r w:rsidRPr="006959A7">
        <w:rPr>
          <w:rFonts w:cs="Times New Roman"/>
        </w:rPr>
        <w:t xml:space="preserve">Based on the experience of </w:t>
      </w:r>
      <w:r w:rsidRPr="006959A7">
        <w:rPr>
          <w:rFonts w:cs="Times New Roman"/>
        </w:rPr>
        <w:t>NYRL members</w:t>
      </w:r>
      <w:r w:rsidRPr="006959A7">
        <w:rPr>
          <w:rFonts w:cs="Times New Roman"/>
        </w:rPr>
        <w:t xml:space="preserve">, student loan debt is one the most common sources of financial instability for New York </w:t>
      </w:r>
      <w:r w:rsidRPr="006959A7">
        <w:rPr>
          <w:rFonts w:cs="Times New Roman"/>
        </w:rPr>
        <w:t>residents. It is also our experience that many of the hardships created by student loan debt are unnecessary and could be eliminated by policies that ensure borro</w:t>
      </w:r>
      <w:r w:rsidRPr="006959A7">
        <w:rPr>
          <w:rFonts w:cs="Times New Roman"/>
        </w:rPr>
        <w:t xml:space="preserve">wers receive and have access to accurate information about their loans, and that require borrowers to be informed of the repayment and forgiveness options that best suit their needs.  </w:t>
      </w:r>
    </w:p>
    <w:p w14:paraId="0F7EFF2D" w14:textId="77777777" w:rsidR="00B7588D" w:rsidRPr="006959A7" w:rsidRDefault="00B7588D" w:rsidP="00146AC0">
      <w:pPr>
        <w:suppressAutoHyphens/>
        <w:spacing w:line="276" w:lineRule="auto"/>
        <w:rPr>
          <w:rFonts w:cs="Times New Roman"/>
        </w:rPr>
      </w:pPr>
    </w:p>
    <w:p w14:paraId="1610229D" w14:textId="17A37F78" w:rsidR="00B7588D" w:rsidRDefault="00E76D25" w:rsidP="00146AC0">
      <w:pPr>
        <w:suppressAutoHyphens/>
        <w:spacing w:after="200" w:line="276" w:lineRule="auto"/>
        <w:rPr>
          <w:rFonts w:cs="Times New Roman"/>
        </w:rPr>
      </w:pPr>
      <w:r w:rsidRPr="006959A7">
        <w:rPr>
          <w:rStyle w:val="PageNumber"/>
          <w:rFonts w:cs="Times New Roman"/>
        </w:rPr>
        <w:t>New York State has a long tradition of leading the way on consumer pro</w:t>
      </w:r>
      <w:r w:rsidRPr="006959A7">
        <w:rPr>
          <w:rStyle w:val="PageNumber"/>
          <w:rFonts w:cs="Times New Roman"/>
        </w:rPr>
        <w:t>tection, and student loan servicing is an issue that is ripe for state action. The nation faces a crisis right now, as more than 44 million Americans</w:t>
      </w:r>
      <w:r w:rsidR="001E11BA">
        <w:rPr>
          <w:rStyle w:val="PageNumber"/>
          <w:rFonts w:cs="Times New Roman"/>
        </w:rPr>
        <w:t xml:space="preserve"> </w:t>
      </w:r>
      <w:r w:rsidRPr="006959A7">
        <w:rPr>
          <w:rStyle w:val="PageNumber"/>
          <w:rFonts w:cs="Times New Roman"/>
        </w:rPr>
        <w:t xml:space="preserve">owe more than $1.4 trillion in student loan debt and more than $165 billion of that debt is more than 90 </w:t>
      </w:r>
      <w:r w:rsidRPr="006959A7">
        <w:rPr>
          <w:rStyle w:val="PageNumber"/>
          <w:rFonts w:cs="Times New Roman"/>
        </w:rPr>
        <w:t>days in default.</w:t>
      </w:r>
      <w:r w:rsidRPr="006959A7">
        <w:rPr>
          <w:rStyle w:val="PageNumber"/>
          <w:rFonts w:cs="Times New Roman"/>
          <w:vertAlign w:val="superscript"/>
        </w:rPr>
        <w:footnoteReference w:id="2"/>
      </w:r>
      <w:r w:rsidRPr="006959A7">
        <w:rPr>
          <w:rStyle w:val="PageNumber"/>
          <w:rFonts w:cs="Times New Roman"/>
        </w:rPr>
        <w:t xml:space="preserve">  In New York alone, student loan debt more than doubled during the last decade, growing to $82 billion, with an average outstanding balance of $32,000.</w:t>
      </w:r>
      <w:r w:rsidRPr="006959A7">
        <w:rPr>
          <w:rStyle w:val="PageNumber"/>
          <w:rFonts w:cs="Times New Roman"/>
          <w:vertAlign w:val="superscript"/>
        </w:rPr>
        <w:footnoteReference w:id="3"/>
      </w:r>
      <w:r w:rsidRPr="006959A7">
        <w:rPr>
          <w:rStyle w:val="PageNumber"/>
          <w:rFonts w:cs="Times New Roman"/>
        </w:rPr>
        <w:t xml:space="preserve"> </w:t>
      </w:r>
      <w:r w:rsidRPr="006959A7">
        <w:rPr>
          <w:rStyle w:val="PageNumber"/>
          <w:rFonts w:cs="Times New Roman"/>
        </w:rPr>
        <w:t xml:space="preserve"> </w:t>
      </w:r>
      <w:r w:rsidRPr="006959A7">
        <w:rPr>
          <w:rFonts w:cs="Times New Roman"/>
        </w:rPr>
        <w:t xml:space="preserve">Student loan servicers, who are the primary links between lenders and borrowers, </w:t>
      </w:r>
      <w:r w:rsidRPr="006959A7">
        <w:rPr>
          <w:rFonts w:cs="Times New Roman"/>
        </w:rPr>
        <w:t>often have the power to either help borrowers remain current on their accounts or allow them to fall into default. Precisely because of this essential role, and the reasons listed below, we must ensure basic rights for borrowers repaying student loans.</w:t>
      </w:r>
    </w:p>
    <w:p w14:paraId="472066CF" w14:textId="287E0C3D" w:rsidR="00B94B50" w:rsidRPr="00B94B50" w:rsidRDefault="00B94B50" w:rsidP="00146AC0">
      <w:pPr>
        <w:pStyle w:val="ListParagraph"/>
        <w:numPr>
          <w:ilvl w:val="0"/>
          <w:numId w:val="1"/>
        </w:numPr>
        <w:suppressAutoHyphens/>
        <w:spacing w:after="200" w:line="276" w:lineRule="auto"/>
        <w:rPr>
          <w:rFonts w:cs="Times New Roman"/>
        </w:rPr>
      </w:pPr>
      <w:r>
        <w:rPr>
          <w:rFonts w:cs="Times New Roman"/>
        </w:rPr>
        <w:t xml:space="preserve">New York Student Loan Borrowers are Harmed by Inadequate </w:t>
      </w:r>
      <w:r w:rsidR="00D26A23">
        <w:rPr>
          <w:rFonts w:cs="Times New Roman"/>
        </w:rPr>
        <w:t xml:space="preserve">Loan </w:t>
      </w:r>
      <w:r>
        <w:rPr>
          <w:rFonts w:cs="Times New Roman"/>
        </w:rPr>
        <w:t>Servicing</w:t>
      </w:r>
    </w:p>
    <w:p w14:paraId="040C9C88" w14:textId="7CFE78E0" w:rsidR="00B7588D" w:rsidRPr="006959A7" w:rsidRDefault="00E76D25" w:rsidP="00146AC0">
      <w:pPr>
        <w:suppressAutoHyphens/>
        <w:spacing w:after="200" w:line="276" w:lineRule="auto"/>
        <w:rPr>
          <w:rFonts w:cs="Times New Roman"/>
        </w:rPr>
      </w:pPr>
      <w:r w:rsidRPr="006959A7">
        <w:rPr>
          <w:rStyle w:val="PageNumber"/>
          <w:rFonts w:cs="Times New Roman"/>
          <w:i/>
          <w:iCs/>
        </w:rPr>
        <w:t>Stu</w:t>
      </w:r>
      <w:r w:rsidRPr="006959A7">
        <w:rPr>
          <w:rStyle w:val="PageNumber"/>
          <w:rFonts w:cs="Times New Roman"/>
          <w:i/>
          <w:iCs/>
        </w:rPr>
        <w:t>dies show that servicers routinely fail to tell borrowers about available relief, including income-driven repayment plans and disability discharges, and instead allow borrowers to fall into default, resulting in garnishment, tax seizures, and other hardshi</w:t>
      </w:r>
      <w:r w:rsidRPr="006959A7">
        <w:rPr>
          <w:rStyle w:val="PageNumber"/>
          <w:rFonts w:cs="Times New Roman"/>
          <w:i/>
          <w:iCs/>
        </w:rPr>
        <w:t>ps</w:t>
      </w:r>
      <w:r w:rsidRPr="006959A7">
        <w:rPr>
          <w:rStyle w:val="PageNumber"/>
          <w:rFonts w:cs="Times New Roman"/>
        </w:rPr>
        <w:t>.</w:t>
      </w:r>
      <w:r w:rsidRPr="006959A7">
        <w:rPr>
          <w:rStyle w:val="PageNumber"/>
          <w:rFonts w:cs="Times New Roman"/>
          <w:b/>
          <w:bCs/>
        </w:rPr>
        <w:t xml:space="preserve"> </w:t>
      </w:r>
      <w:r w:rsidR="003F7F54" w:rsidRPr="006959A7">
        <w:rPr>
          <w:rStyle w:val="PageNumber"/>
          <w:rFonts w:cs="Times New Roman"/>
          <w:bCs/>
          <w:i/>
        </w:rPr>
        <w:t xml:space="preserve">Also, </w:t>
      </w:r>
      <w:r w:rsidR="003F7F54" w:rsidRPr="006959A7">
        <w:rPr>
          <w:rStyle w:val="PageNumber"/>
          <w:rFonts w:cs="Times New Roman"/>
          <w:i/>
          <w:iCs/>
        </w:rPr>
        <w:t>b</w:t>
      </w:r>
      <w:r w:rsidRPr="006959A7">
        <w:rPr>
          <w:rStyle w:val="PageNumber"/>
          <w:rFonts w:cs="Times New Roman"/>
          <w:i/>
          <w:iCs/>
        </w:rPr>
        <w:t xml:space="preserve">orrowers report that servicers provide inaccurate information or actively obstruct relief when </w:t>
      </w:r>
      <w:r w:rsidR="000F7221">
        <w:rPr>
          <w:rStyle w:val="PageNumber"/>
          <w:rFonts w:cs="Times New Roman"/>
          <w:i/>
          <w:iCs/>
        </w:rPr>
        <w:t>they</w:t>
      </w:r>
      <w:r w:rsidRPr="006959A7">
        <w:rPr>
          <w:rStyle w:val="PageNumber"/>
          <w:rFonts w:cs="Times New Roman"/>
          <w:i/>
          <w:iCs/>
        </w:rPr>
        <w:t xml:space="preserve"> apply for an income-driven payment program, instead pushing them into temporary forbearance and deferment options, which ultimately work against t</w:t>
      </w:r>
      <w:r w:rsidRPr="006959A7">
        <w:rPr>
          <w:rStyle w:val="PageNumber"/>
          <w:rFonts w:cs="Times New Roman"/>
          <w:i/>
          <w:iCs/>
        </w:rPr>
        <w:t>he borrowers’ best interests</w:t>
      </w:r>
      <w:r w:rsidRPr="006959A7">
        <w:rPr>
          <w:rFonts w:cs="Times New Roman"/>
        </w:rPr>
        <w:t xml:space="preserve">. </w:t>
      </w:r>
    </w:p>
    <w:p w14:paraId="41852108" w14:textId="4ED5010F" w:rsidR="00B7588D" w:rsidRPr="00346F5D" w:rsidRDefault="00E76D25" w:rsidP="00146AC0">
      <w:pPr>
        <w:suppressAutoHyphens/>
        <w:spacing w:after="200" w:line="276" w:lineRule="auto"/>
        <w:rPr>
          <w:rFonts w:cs="Times New Roman"/>
          <w:b/>
          <w:bCs/>
        </w:rPr>
      </w:pPr>
      <w:r w:rsidRPr="006959A7">
        <w:rPr>
          <w:rFonts w:cs="Times New Roman"/>
        </w:rPr>
        <w:t>For most borrowers, forbearance and deferments are inferior options to enrollment in income-driven plans that cap payments at a modest percentage of income, sometimes with payments as low as $0 per month. Income-driven paymen</w:t>
      </w:r>
      <w:r w:rsidRPr="006959A7">
        <w:rPr>
          <w:rFonts w:cs="Times New Roman"/>
        </w:rPr>
        <w:t>ts also count towards eventual forgiveness of any remaining debt after 20 or 25 years of payments. Nonetheless, a report by the Consumer Financial Protection Bureau</w:t>
      </w:r>
      <w:r w:rsidR="000F7221">
        <w:rPr>
          <w:rFonts w:cs="Times New Roman"/>
        </w:rPr>
        <w:t xml:space="preserve"> (CFPB)</w:t>
      </w:r>
      <w:r w:rsidRPr="006959A7">
        <w:rPr>
          <w:rFonts w:cs="Times New Roman"/>
        </w:rPr>
        <w:t xml:space="preserve"> found that borrowers complaints reveal that instead of helping them to enroll in income-dri</w:t>
      </w:r>
      <w:r w:rsidRPr="006959A7">
        <w:rPr>
          <w:rFonts w:cs="Times New Roman"/>
        </w:rPr>
        <w:t xml:space="preserve">ven repayment </w:t>
      </w:r>
      <w:r w:rsidRPr="006959A7">
        <w:rPr>
          <w:rFonts w:cs="Times New Roman"/>
        </w:rPr>
        <w:lastRenderedPageBreak/>
        <w:t xml:space="preserve">plans, servicers often </w:t>
      </w:r>
      <w:r w:rsidR="000F7221">
        <w:rPr>
          <w:rFonts w:cs="Times New Roman"/>
        </w:rPr>
        <w:t>steer</w:t>
      </w:r>
      <w:r w:rsidRPr="006959A7">
        <w:rPr>
          <w:rFonts w:cs="Times New Roman"/>
        </w:rPr>
        <w:t xml:space="preserve"> them towards temporary forbearance and d</w:t>
      </w:r>
      <w:r w:rsidR="00346F5D">
        <w:rPr>
          <w:rFonts w:cs="Times New Roman"/>
        </w:rPr>
        <w:t>eferment options, which a practice that is more</w:t>
      </w:r>
      <w:r w:rsidRPr="006959A7">
        <w:rPr>
          <w:rFonts w:cs="Times New Roman"/>
        </w:rPr>
        <w:t xml:space="preserve"> lucrative for servicers, but often detrimental to borrowers.</w:t>
      </w:r>
      <w:r w:rsidRPr="006959A7">
        <w:rPr>
          <w:rStyle w:val="FootnoteReference"/>
          <w:rFonts w:cs="Times New Roman"/>
        </w:rPr>
        <w:footnoteReference w:id="4"/>
      </w:r>
      <w:r w:rsidR="00346F5D">
        <w:rPr>
          <w:rStyle w:val="PageNumber"/>
          <w:rFonts w:cs="Times New Roman"/>
          <w:b/>
          <w:bCs/>
        </w:rPr>
        <w:t xml:space="preserve"> </w:t>
      </w:r>
      <w:r w:rsidRPr="006959A7">
        <w:rPr>
          <w:rStyle w:val="PageNumber"/>
          <w:rFonts w:cs="Times New Roman"/>
        </w:rPr>
        <w:t xml:space="preserve">A study by the </w:t>
      </w:r>
      <w:r w:rsidRPr="006959A7">
        <w:rPr>
          <w:rFonts w:cs="Times New Roman"/>
        </w:rPr>
        <w:t>Government Accountability Office (GAO) found that 70 percent o</w:t>
      </w:r>
      <w:r w:rsidRPr="006959A7">
        <w:rPr>
          <w:rFonts w:cs="Times New Roman"/>
        </w:rPr>
        <w:t>f borrowers in default actually qualified for a lower monthly payment through income-driven repayment plans, yet servicers failed to provide sufficient information for borrowers to enroll.</w:t>
      </w:r>
      <w:r w:rsidRPr="006959A7">
        <w:rPr>
          <w:rStyle w:val="FootnoteReference"/>
          <w:rFonts w:cs="Times New Roman"/>
        </w:rPr>
        <w:footnoteReference w:id="5"/>
      </w:r>
      <w:r w:rsidRPr="006959A7">
        <w:rPr>
          <w:rFonts w:cs="Times New Roman"/>
        </w:rPr>
        <w:t xml:space="preserve"> It also found that even when servicers reached out to delinquent b</w:t>
      </w:r>
      <w:r w:rsidRPr="006959A7">
        <w:rPr>
          <w:rFonts w:cs="Times New Roman"/>
        </w:rPr>
        <w:t>orrowers, the information provided was often inconsistent, leading to confusion and substandard solutions to borrowers’ problems.</w:t>
      </w:r>
      <w:r w:rsidRPr="006959A7">
        <w:rPr>
          <w:rStyle w:val="FootnoteReference"/>
          <w:rFonts w:cs="Times New Roman"/>
        </w:rPr>
        <w:footnoteReference w:id="6"/>
      </w:r>
    </w:p>
    <w:p w14:paraId="2B50FFDB" w14:textId="784C5CC5" w:rsidR="00B7588D" w:rsidRPr="006959A7" w:rsidRDefault="00E76D25" w:rsidP="00146AC0">
      <w:pPr>
        <w:suppressAutoHyphens/>
        <w:spacing w:after="200" w:line="276" w:lineRule="auto"/>
        <w:rPr>
          <w:rFonts w:cs="Times New Roman"/>
        </w:rPr>
      </w:pPr>
      <w:r w:rsidRPr="006959A7">
        <w:rPr>
          <w:rFonts w:cs="Times New Roman"/>
        </w:rPr>
        <w:t xml:space="preserve">A recent audit of </w:t>
      </w:r>
      <w:r w:rsidR="00346F5D">
        <w:rPr>
          <w:rFonts w:cs="Times New Roman"/>
        </w:rPr>
        <w:t xml:space="preserve">one of the nation’s </w:t>
      </w:r>
      <w:r w:rsidRPr="006959A7">
        <w:rPr>
          <w:rFonts w:cs="Times New Roman"/>
        </w:rPr>
        <w:t>largest servicer</w:t>
      </w:r>
      <w:r w:rsidR="00346F5D">
        <w:rPr>
          <w:rFonts w:cs="Times New Roman"/>
        </w:rPr>
        <w:t>s</w:t>
      </w:r>
      <w:r w:rsidRPr="006959A7">
        <w:rPr>
          <w:rFonts w:cs="Times New Roman"/>
        </w:rPr>
        <w:t>, Navient, by Federal Student Aid (FSA), an office of the U.S. Departmen</w:t>
      </w:r>
      <w:r w:rsidRPr="006959A7">
        <w:rPr>
          <w:rFonts w:cs="Times New Roman"/>
        </w:rPr>
        <w:t xml:space="preserve">t of Education, </w:t>
      </w:r>
      <w:r w:rsidR="003F7F54" w:rsidRPr="006959A7">
        <w:rPr>
          <w:rFonts w:cs="Times New Roman"/>
        </w:rPr>
        <w:t>supported</w:t>
      </w:r>
      <w:r w:rsidRPr="006959A7">
        <w:rPr>
          <w:rFonts w:cs="Times New Roman"/>
        </w:rPr>
        <w:t xml:space="preserve"> these findings.</w:t>
      </w:r>
      <w:r w:rsidR="003F7F54" w:rsidRPr="006959A7">
        <w:rPr>
          <w:rStyle w:val="FootnoteReference"/>
          <w:rFonts w:cs="Times New Roman"/>
        </w:rPr>
        <w:footnoteReference w:id="7"/>
      </w:r>
      <w:r w:rsidRPr="006959A7">
        <w:rPr>
          <w:rFonts w:cs="Times New Roman"/>
        </w:rPr>
        <w:t xml:space="preserve"> In the audit, in which the FSA listened to calls between Navient and borrowers, it found that Navient representatives often </w:t>
      </w:r>
      <w:r w:rsidR="003F7F54" w:rsidRPr="006959A7">
        <w:rPr>
          <w:rFonts w:cs="Times New Roman"/>
        </w:rPr>
        <w:t xml:space="preserve">only </w:t>
      </w:r>
      <w:r w:rsidRPr="006959A7">
        <w:rPr>
          <w:rFonts w:cs="Times New Roman"/>
        </w:rPr>
        <w:t>offered borrowers the option of forbearance, sometimes even when borrowers promised t</w:t>
      </w:r>
      <w:r w:rsidRPr="006959A7">
        <w:rPr>
          <w:rFonts w:cs="Times New Roman"/>
        </w:rPr>
        <w:t>o make a payment within a short amount of time.</w:t>
      </w:r>
      <w:r w:rsidR="003F7F54" w:rsidRPr="006959A7">
        <w:rPr>
          <w:rStyle w:val="FootnoteReference"/>
          <w:rFonts w:cs="Times New Roman"/>
        </w:rPr>
        <w:footnoteReference w:id="8"/>
      </w:r>
      <w:r w:rsidRPr="006959A7">
        <w:rPr>
          <w:rFonts w:cs="Times New Roman"/>
        </w:rPr>
        <w:t xml:space="preserve"> It also found that Navient </w:t>
      </w:r>
      <w:r w:rsidR="003F7F54" w:rsidRPr="006959A7">
        <w:rPr>
          <w:rFonts w:cs="Times New Roman"/>
        </w:rPr>
        <w:t xml:space="preserve">sometimes </w:t>
      </w:r>
      <w:r w:rsidRPr="006959A7">
        <w:rPr>
          <w:rFonts w:cs="Times New Roman"/>
        </w:rPr>
        <w:t xml:space="preserve">did not offer alternative or beneficial options to borrowers, such as income-driven repayment plans, or ask questions to help determine whether </w:t>
      </w:r>
      <w:r w:rsidR="00146AC0">
        <w:rPr>
          <w:rFonts w:cs="Times New Roman"/>
        </w:rPr>
        <w:t>another option</w:t>
      </w:r>
      <w:r w:rsidRPr="006959A7">
        <w:rPr>
          <w:rFonts w:cs="Times New Roman"/>
        </w:rPr>
        <w:t xml:space="preserve"> would be </w:t>
      </w:r>
      <w:r w:rsidR="00146AC0">
        <w:rPr>
          <w:rFonts w:cs="Times New Roman"/>
        </w:rPr>
        <w:t>better</w:t>
      </w:r>
      <w:r w:rsidRPr="006959A7">
        <w:rPr>
          <w:rFonts w:cs="Times New Roman"/>
        </w:rPr>
        <w:t xml:space="preserve"> for the</w:t>
      </w:r>
      <w:r w:rsidRPr="006959A7">
        <w:rPr>
          <w:rFonts w:cs="Times New Roman"/>
        </w:rPr>
        <w:t xml:space="preserve"> borrower.</w:t>
      </w:r>
      <w:r w:rsidR="003F7F54" w:rsidRPr="006959A7">
        <w:rPr>
          <w:rStyle w:val="FootnoteReference"/>
          <w:rFonts w:cs="Times New Roman"/>
        </w:rPr>
        <w:footnoteReference w:id="9"/>
      </w:r>
      <w:r w:rsidR="003F7F54" w:rsidRPr="006959A7">
        <w:rPr>
          <w:rFonts w:cs="Times New Roman"/>
        </w:rPr>
        <w:t xml:space="preserve"> </w:t>
      </w:r>
    </w:p>
    <w:p w14:paraId="50D99D45" w14:textId="5280A647" w:rsidR="00B7588D" w:rsidRPr="006959A7" w:rsidRDefault="00E76D25" w:rsidP="00146AC0">
      <w:pPr>
        <w:suppressAutoHyphens/>
        <w:spacing w:after="200" w:line="276" w:lineRule="auto"/>
        <w:rPr>
          <w:rStyle w:val="PageNumber"/>
          <w:rFonts w:cs="Times New Roman"/>
        </w:rPr>
      </w:pPr>
      <w:r w:rsidRPr="006959A7">
        <w:rPr>
          <w:rFonts w:cs="Times New Roman"/>
        </w:rPr>
        <w:t xml:space="preserve">The issue of misinformation provided by servicers has </w:t>
      </w:r>
      <w:r w:rsidR="003F7F54" w:rsidRPr="006959A7">
        <w:rPr>
          <w:rFonts w:cs="Times New Roman"/>
        </w:rPr>
        <w:t xml:space="preserve">also </w:t>
      </w:r>
      <w:r w:rsidRPr="006959A7">
        <w:rPr>
          <w:rFonts w:cs="Times New Roman"/>
        </w:rPr>
        <w:t xml:space="preserve">been brought to light in the past year when the first wave of borrowers </w:t>
      </w:r>
      <w:r w:rsidR="00146AC0">
        <w:rPr>
          <w:rFonts w:cs="Times New Roman"/>
        </w:rPr>
        <w:t>became</w:t>
      </w:r>
      <w:r w:rsidRPr="006959A7">
        <w:rPr>
          <w:rFonts w:cs="Times New Roman"/>
        </w:rPr>
        <w:t xml:space="preserve"> eligible for public se</w:t>
      </w:r>
      <w:r w:rsidR="00146AC0">
        <w:rPr>
          <w:rFonts w:cs="Times New Roman"/>
        </w:rPr>
        <w:t>rvice loan forgiveness (PSLF). This</w:t>
      </w:r>
      <w:r w:rsidRPr="006959A7">
        <w:rPr>
          <w:rFonts w:cs="Times New Roman"/>
        </w:rPr>
        <w:t xml:space="preserve"> program </w:t>
      </w:r>
      <w:r w:rsidR="00146AC0">
        <w:rPr>
          <w:rFonts w:cs="Times New Roman"/>
        </w:rPr>
        <w:t xml:space="preserve">is </w:t>
      </w:r>
      <w:r w:rsidRPr="006959A7">
        <w:rPr>
          <w:rFonts w:cs="Times New Roman"/>
        </w:rPr>
        <w:t>offered to b</w:t>
      </w:r>
      <w:r w:rsidRPr="006959A7">
        <w:rPr>
          <w:rFonts w:cs="Times New Roman"/>
        </w:rPr>
        <w:t>orrowers who have ch</w:t>
      </w:r>
      <w:r w:rsidR="00146AC0">
        <w:rPr>
          <w:rFonts w:cs="Times New Roman"/>
        </w:rPr>
        <w:t xml:space="preserve">osen a career in public service, </w:t>
      </w:r>
      <w:r w:rsidRPr="006959A7">
        <w:rPr>
          <w:rFonts w:cs="Times New Roman"/>
        </w:rPr>
        <w:t>which grants forgiveness of remaining debt after 10 years of timely, qualifying payments made while working for a government agency or a 501(c)(3) nonprofit organization. This broad range of public se</w:t>
      </w:r>
      <w:r w:rsidRPr="006959A7">
        <w:rPr>
          <w:rFonts w:cs="Times New Roman"/>
        </w:rPr>
        <w:t>rvants include nurses, teachers, clinical social workers, and even first responders. Incredibly, the Education Department has denied 99% of</w:t>
      </w:r>
      <w:r w:rsidR="00146AC0">
        <w:rPr>
          <w:rFonts w:cs="Times New Roman"/>
        </w:rPr>
        <w:t xml:space="preserve"> the</w:t>
      </w:r>
      <w:r w:rsidRPr="006959A7">
        <w:rPr>
          <w:rFonts w:cs="Times New Roman"/>
        </w:rPr>
        <w:t xml:space="preserve"> borrowers </w:t>
      </w:r>
      <w:r w:rsidR="00146AC0">
        <w:rPr>
          <w:rFonts w:cs="Times New Roman"/>
        </w:rPr>
        <w:t>who have applied</w:t>
      </w:r>
      <w:r w:rsidRPr="006959A7">
        <w:rPr>
          <w:rFonts w:cs="Times New Roman"/>
        </w:rPr>
        <w:t xml:space="preserve"> for PSLF.</w:t>
      </w:r>
      <w:r w:rsidRPr="006959A7">
        <w:rPr>
          <w:rStyle w:val="FootnoteReference"/>
          <w:rFonts w:cs="Times New Roman"/>
        </w:rPr>
        <w:footnoteReference w:id="10"/>
      </w:r>
      <w:r w:rsidRPr="006959A7">
        <w:rPr>
          <w:rFonts w:cs="Times New Roman"/>
        </w:rPr>
        <w:t xml:space="preserve"> The Department has denied</w:t>
      </w:r>
      <w:r w:rsidR="004F4EFE">
        <w:rPr>
          <w:rFonts w:cs="Times New Roman"/>
        </w:rPr>
        <w:t xml:space="preserve"> approximately</w:t>
      </w:r>
      <w:r w:rsidRPr="006959A7">
        <w:rPr>
          <w:rFonts w:cs="Times New Roman"/>
        </w:rPr>
        <w:t xml:space="preserve"> 70% of </w:t>
      </w:r>
      <w:r w:rsidR="00146AC0">
        <w:rPr>
          <w:rFonts w:cs="Times New Roman"/>
        </w:rPr>
        <w:t>applications</w:t>
      </w:r>
      <w:r w:rsidRPr="006959A7">
        <w:rPr>
          <w:rFonts w:cs="Times New Roman"/>
        </w:rPr>
        <w:t xml:space="preserve"> because they did not meet the program’s re</w:t>
      </w:r>
      <w:r w:rsidRPr="006959A7">
        <w:rPr>
          <w:rFonts w:cs="Times New Roman"/>
        </w:rPr>
        <w:t>quirements</w:t>
      </w:r>
      <w:r w:rsidR="00146AC0">
        <w:rPr>
          <w:rFonts w:cs="Times New Roman"/>
        </w:rPr>
        <w:t>,</w:t>
      </w:r>
      <w:r w:rsidR="004F4EFE">
        <w:rPr>
          <w:rFonts w:cs="Times New Roman"/>
        </w:rPr>
        <w:t xml:space="preserve"> </w:t>
      </w:r>
      <w:r w:rsidR="004F4EFE" w:rsidRPr="006959A7">
        <w:rPr>
          <w:rFonts w:cs="Times New Roman"/>
        </w:rPr>
        <w:t>either because they did not have the right type of loans, the right type of employers, or the right type of payment plans</w:t>
      </w:r>
      <w:r w:rsidRPr="006959A7">
        <w:rPr>
          <w:rFonts w:cs="Times New Roman"/>
        </w:rPr>
        <w:t>.</w:t>
      </w:r>
      <w:r w:rsidRPr="006959A7">
        <w:rPr>
          <w:rStyle w:val="FootnoteReference"/>
          <w:rFonts w:cs="Times New Roman"/>
        </w:rPr>
        <w:footnoteReference w:id="11"/>
      </w:r>
      <w:r w:rsidRPr="006959A7">
        <w:rPr>
          <w:rFonts w:cs="Times New Roman"/>
        </w:rPr>
        <w:t xml:space="preserve"> </w:t>
      </w:r>
      <w:r w:rsidR="00146AC0">
        <w:rPr>
          <w:rFonts w:cs="Times New Roman"/>
        </w:rPr>
        <w:t>This is often due to confusion and misinformation about how the program works.</w:t>
      </w:r>
      <w:r w:rsidR="00146AC0">
        <w:rPr>
          <w:rStyle w:val="FootnoteReference"/>
          <w:rFonts w:cs="Times New Roman"/>
        </w:rPr>
        <w:footnoteReference w:id="12"/>
      </w:r>
      <w:r w:rsidR="00146AC0">
        <w:rPr>
          <w:rFonts w:cs="Times New Roman"/>
        </w:rPr>
        <w:t xml:space="preserve"> </w:t>
      </w:r>
      <w:r w:rsidRPr="006959A7">
        <w:rPr>
          <w:rFonts w:cs="Times New Roman"/>
        </w:rPr>
        <w:t xml:space="preserve">Many of these borrowers </w:t>
      </w:r>
      <w:r w:rsidR="00146AC0">
        <w:rPr>
          <w:rFonts w:cs="Times New Roman"/>
        </w:rPr>
        <w:t>now face</w:t>
      </w:r>
      <w:r w:rsidRPr="006959A7">
        <w:rPr>
          <w:rFonts w:cs="Times New Roman"/>
        </w:rPr>
        <w:t xml:space="preserve"> the nightmare scenario of being denied after making years of payments</w:t>
      </w:r>
      <w:r w:rsidR="004F4EFE">
        <w:rPr>
          <w:rFonts w:cs="Times New Roman"/>
        </w:rPr>
        <w:t xml:space="preserve"> that did not qualify</w:t>
      </w:r>
      <w:r w:rsidRPr="006959A7">
        <w:rPr>
          <w:rFonts w:cs="Times New Roman"/>
        </w:rPr>
        <w:t xml:space="preserve">, </w:t>
      </w:r>
      <w:r w:rsidR="004F4EFE">
        <w:rPr>
          <w:rFonts w:cs="Times New Roman"/>
        </w:rPr>
        <w:t>even though they were</w:t>
      </w:r>
      <w:r w:rsidRPr="006959A7">
        <w:rPr>
          <w:rFonts w:cs="Times New Roman"/>
        </w:rPr>
        <w:t xml:space="preserve"> assured by their servicers that they </w:t>
      </w:r>
      <w:r w:rsidR="004F4EFE">
        <w:rPr>
          <w:rFonts w:cs="Times New Roman"/>
        </w:rPr>
        <w:t>would.</w:t>
      </w:r>
      <w:r w:rsidR="003F7F54" w:rsidRPr="006959A7">
        <w:rPr>
          <w:rStyle w:val="FootnoteReference"/>
          <w:rFonts w:cs="Times New Roman"/>
        </w:rPr>
        <w:footnoteReference w:id="13"/>
      </w:r>
      <w:r w:rsidR="003F7F54" w:rsidRPr="006959A7">
        <w:rPr>
          <w:rFonts w:cs="Times New Roman"/>
        </w:rPr>
        <w:t xml:space="preserve"> </w:t>
      </w:r>
    </w:p>
    <w:p w14:paraId="47734991" w14:textId="77777777" w:rsidR="00B7588D" w:rsidRPr="006959A7" w:rsidRDefault="00E76D25" w:rsidP="00146AC0">
      <w:pPr>
        <w:suppressAutoHyphens/>
        <w:spacing w:after="200" w:line="276" w:lineRule="auto"/>
        <w:rPr>
          <w:rStyle w:val="PageNumber"/>
          <w:rFonts w:cs="Times New Roman"/>
        </w:rPr>
      </w:pPr>
      <w:r w:rsidRPr="006959A7">
        <w:rPr>
          <w:rStyle w:val="PageNumber"/>
          <w:rFonts w:cs="Times New Roman"/>
          <w:i/>
          <w:iCs/>
        </w:rPr>
        <w:t>Borrowers find that loan servicers are unable to provide accurate information or records</w:t>
      </w:r>
      <w:r w:rsidRPr="006959A7">
        <w:rPr>
          <w:rStyle w:val="PageNumber"/>
          <w:rFonts w:cs="Times New Roman"/>
        </w:rPr>
        <w:t>. Borrowers are sometimes not a</w:t>
      </w:r>
      <w:r w:rsidRPr="006959A7">
        <w:rPr>
          <w:rStyle w:val="PageNumber"/>
          <w:rFonts w:cs="Times New Roman"/>
        </w:rPr>
        <w:t>ble to obtain accurate information about their payment history, or access documentation about their loans, including original loan contracts.</w:t>
      </w:r>
      <w:r w:rsidRPr="006959A7">
        <w:rPr>
          <w:rStyle w:val="PageNumber"/>
          <w:rFonts w:cs="Times New Roman"/>
          <w:vertAlign w:val="superscript"/>
        </w:rPr>
        <w:footnoteReference w:id="14"/>
      </w:r>
      <w:r w:rsidRPr="006959A7">
        <w:rPr>
          <w:rStyle w:val="PageNumber"/>
          <w:rFonts w:cs="Times New Roman"/>
        </w:rPr>
        <w:t xml:space="preserve">  Indeed, servicers often provide borrowers with conflicting, inconsistent and inaccurate information, and borrowe</w:t>
      </w:r>
      <w:r w:rsidRPr="006959A7">
        <w:rPr>
          <w:rStyle w:val="PageNumber"/>
          <w:rFonts w:cs="Times New Roman"/>
        </w:rPr>
        <w:t>rs have difficulty with escalating inquiries or complaints to senior servicing personnel to resolve these issues.</w:t>
      </w:r>
      <w:r w:rsidRPr="006959A7">
        <w:rPr>
          <w:rStyle w:val="PageNumber"/>
          <w:rFonts w:cs="Times New Roman"/>
          <w:vertAlign w:val="superscript"/>
        </w:rPr>
        <w:footnoteReference w:id="15"/>
      </w:r>
    </w:p>
    <w:p w14:paraId="7A9E3E13" w14:textId="263E8E15" w:rsidR="008F3998" w:rsidRDefault="003F7F54" w:rsidP="00146AC0">
      <w:pPr>
        <w:suppressAutoHyphens/>
        <w:spacing w:after="200" w:line="276" w:lineRule="auto"/>
      </w:pPr>
      <w:r w:rsidRPr="006959A7">
        <w:rPr>
          <w:rStyle w:val="PageNumber"/>
          <w:rFonts w:cs="Times New Roman"/>
          <w:i/>
          <w:iCs/>
        </w:rPr>
        <w:t xml:space="preserve">As a result of the problems described above, many borrowers are tricked into paying scam student loan debt relief companies to help with </w:t>
      </w:r>
      <w:r w:rsidR="00D26A23">
        <w:rPr>
          <w:rStyle w:val="PageNumber"/>
          <w:rFonts w:cs="Times New Roman"/>
          <w:i/>
          <w:iCs/>
        </w:rPr>
        <w:t xml:space="preserve">their </w:t>
      </w:r>
      <w:r w:rsidRPr="006959A7">
        <w:rPr>
          <w:rStyle w:val="PageNumber"/>
          <w:rFonts w:cs="Times New Roman"/>
          <w:i/>
          <w:iCs/>
        </w:rPr>
        <w:t>student loan debt because they don’t know where else to turn</w:t>
      </w:r>
      <w:r w:rsidR="008F3998" w:rsidRPr="000D0E0C">
        <w:t>.</w:t>
      </w:r>
      <w:r w:rsidR="00D26A23">
        <w:t xml:space="preserve"> In 2015, the NYS Department of Financial Services (DFS) </w:t>
      </w:r>
      <w:r w:rsidR="008F3998">
        <w:t>shut down a student debt relief provider that charged upfront fees ranging from $99 to $3400 to complete applications that are already free of charge to borrowers.</w:t>
      </w:r>
      <w:r w:rsidR="008F3998">
        <w:rPr>
          <w:rStyle w:val="FootnoteReference"/>
        </w:rPr>
        <w:footnoteReference w:id="16"/>
      </w:r>
      <w:r w:rsidR="008F3998">
        <w:t xml:space="preserve">  In 2016, the Consumer Financial Protection Bureau halted a similar scam, noting that “[t]</w:t>
      </w:r>
      <w:r w:rsidR="008F3998" w:rsidRPr="00767ADA">
        <w:t>hese practices bear a disturbing resemblance to the mortgage crisis where distressed consumers were preyed upon with false promises of relief.</w:t>
      </w:r>
      <w:r w:rsidR="008F3998">
        <w:t>”</w:t>
      </w:r>
      <w:r w:rsidR="008F3998">
        <w:rPr>
          <w:rStyle w:val="FootnoteReference"/>
        </w:rPr>
        <w:footnoteReference w:id="17"/>
      </w:r>
      <w:r w:rsidR="008F3998">
        <w:t xml:space="preserve"> As in the mortgage context, such scams would not be as prevalent or successful if student loan servicers were providing accurate information and acting in the best interests of their customers. </w:t>
      </w:r>
    </w:p>
    <w:p w14:paraId="44A1BF2E" w14:textId="6263E21C" w:rsidR="00B7588D" w:rsidRPr="006959A7" w:rsidRDefault="00E76D25" w:rsidP="00146AC0">
      <w:pPr>
        <w:suppressAutoHyphens/>
        <w:spacing w:after="200" w:line="276" w:lineRule="auto"/>
        <w:rPr>
          <w:rStyle w:val="PageNumber"/>
          <w:rFonts w:cs="Times New Roman"/>
        </w:rPr>
      </w:pPr>
      <w:r w:rsidRPr="006959A7">
        <w:rPr>
          <w:rStyle w:val="PageNumber"/>
          <w:rFonts w:cs="Times New Roman"/>
          <w:i/>
          <w:iCs/>
        </w:rPr>
        <w:t xml:space="preserve">Poor student loan servicing disproportionately harms people of color. </w:t>
      </w:r>
      <w:r w:rsidRPr="006959A7">
        <w:rPr>
          <w:rStyle w:val="PageNumber"/>
          <w:rFonts w:cs="Times New Roman"/>
        </w:rPr>
        <w:t xml:space="preserve">Analyses have found that </w:t>
      </w:r>
      <w:r w:rsidR="004C79B4" w:rsidRPr="006959A7">
        <w:rPr>
          <w:rStyle w:val="PageNumber"/>
          <w:rFonts w:cs="Times New Roman"/>
        </w:rPr>
        <w:t>Black</w:t>
      </w:r>
      <w:r w:rsidRPr="006959A7">
        <w:rPr>
          <w:rStyle w:val="PageNumber"/>
          <w:rFonts w:cs="Times New Roman"/>
        </w:rPr>
        <w:t xml:space="preserve"> students</w:t>
      </w:r>
      <w:r w:rsidRPr="006959A7">
        <w:rPr>
          <w:rStyle w:val="PageNumber"/>
          <w:rFonts w:cs="Times New Roman"/>
        </w:rPr>
        <w:t xml:space="preserve"> graduate with more debt than </w:t>
      </w:r>
      <w:r w:rsidR="004C79B4" w:rsidRPr="006959A7">
        <w:rPr>
          <w:rStyle w:val="PageNumber"/>
          <w:rFonts w:cs="Times New Roman"/>
        </w:rPr>
        <w:t>White</w:t>
      </w:r>
      <w:r w:rsidRPr="006959A7">
        <w:rPr>
          <w:rStyle w:val="PageNumber"/>
          <w:rFonts w:cs="Times New Roman"/>
        </w:rPr>
        <w:t xml:space="preserve"> students</w:t>
      </w:r>
      <w:r w:rsidRPr="006959A7">
        <w:rPr>
          <w:rStyle w:val="PageNumber"/>
          <w:rFonts w:cs="Times New Roman"/>
          <w:vertAlign w:val="superscript"/>
        </w:rPr>
        <w:footnoteReference w:id="18"/>
      </w:r>
      <w:r w:rsidRPr="006959A7">
        <w:rPr>
          <w:rStyle w:val="PageNumber"/>
          <w:rFonts w:cs="Times New Roman"/>
        </w:rPr>
        <w:t xml:space="preserve"> and that this gap continues to increase after graduation.</w:t>
      </w:r>
      <w:r w:rsidRPr="006959A7">
        <w:rPr>
          <w:rStyle w:val="PageNumber"/>
          <w:rFonts w:cs="Times New Roman"/>
          <w:vertAlign w:val="superscript"/>
        </w:rPr>
        <w:footnoteReference w:id="19"/>
      </w:r>
      <w:r w:rsidRPr="006959A7">
        <w:rPr>
          <w:rStyle w:val="PageNumber"/>
          <w:rFonts w:cs="Times New Roman"/>
        </w:rPr>
        <w:t xml:space="preserve"> Black and Latino borrowers</w:t>
      </w:r>
      <w:r w:rsidR="00346F5D">
        <w:rPr>
          <w:rStyle w:val="PageNumber"/>
          <w:rFonts w:cs="Times New Roman"/>
        </w:rPr>
        <w:t xml:space="preserve"> also</w:t>
      </w:r>
      <w:r w:rsidRPr="006959A7">
        <w:rPr>
          <w:rStyle w:val="PageNumber"/>
          <w:rFonts w:cs="Times New Roman"/>
        </w:rPr>
        <w:t xml:space="preserve"> encounter higher rat</w:t>
      </w:r>
      <w:r w:rsidR="00202916" w:rsidRPr="006959A7">
        <w:rPr>
          <w:rStyle w:val="PageNumber"/>
          <w:rFonts w:cs="Times New Roman"/>
        </w:rPr>
        <w:t xml:space="preserve">es of default </w:t>
      </w:r>
      <w:r w:rsidRPr="006959A7">
        <w:rPr>
          <w:rStyle w:val="PageNumber"/>
          <w:rFonts w:cs="Times New Roman"/>
        </w:rPr>
        <w:t xml:space="preserve">on student loans than </w:t>
      </w:r>
      <w:r w:rsidR="004C79B4" w:rsidRPr="006959A7">
        <w:rPr>
          <w:rStyle w:val="PageNumber"/>
          <w:rFonts w:cs="Times New Roman"/>
        </w:rPr>
        <w:t>White</w:t>
      </w:r>
      <w:r w:rsidRPr="006959A7">
        <w:rPr>
          <w:rStyle w:val="PageNumber"/>
          <w:rFonts w:cs="Times New Roman"/>
        </w:rPr>
        <w:t xml:space="preserve"> borrowers.</w:t>
      </w:r>
      <w:r w:rsidRPr="006959A7">
        <w:rPr>
          <w:rStyle w:val="PageNumber"/>
          <w:rFonts w:cs="Times New Roman"/>
          <w:vertAlign w:val="superscript"/>
        </w:rPr>
        <w:footnoteReference w:id="20"/>
      </w:r>
      <w:r w:rsidRPr="006959A7">
        <w:rPr>
          <w:rStyle w:val="PageNumber"/>
          <w:rFonts w:cs="Times New Roman"/>
        </w:rPr>
        <w:t xml:space="preserve"> </w:t>
      </w:r>
      <w:r w:rsidR="0054579A" w:rsidRPr="006959A7">
        <w:rPr>
          <w:rStyle w:val="PageNumber"/>
          <w:rFonts w:cs="Times New Roman"/>
        </w:rPr>
        <w:t>A</w:t>
      </w:r>
      <w:r w:rsidRPr="006959A7">
        <w:rPr>
          <w:rStyle w:val="PageNumber"/>
          <w:rFonts w:cs="Times New Roman"/>
        </w:rPr>
        <w:t xml:space="preserve"> study by the Washington Center for Equitable growth found that delinquency on student loans disproportionately affects minority comm</w:t>
      </w:r>
      <w:r w:rsidR="00346F5D">
        <w:rPr>
          <w:rStyle w:val="PageNumber"/>
          <w:rFonts w:cs="Times New Roman"/>
        </w:rPr>
        <w:t>unities.</w:t>
      </w:r>
      <w:r w:rsidR="00346F5D">
        <w:rPr>
          <w:rStyle w:val="FootnoteReference"/>
          <w:rFonts w:cs="Times New Roman"/>
        </w:rPr>
        <w:footnoteReference w:id="21"/>
      </w:r>
      <w:r w:rsidR="00346F5D">
        <w:rPr>
          <w:rStyle w:val="PageNumber"/>
          <w:rFonts w:cs="Times New Roman"/>
        </w:rPr>
        <w:t xml:space="preserve"> E</w:t>
      </w:r>
      <w:r w:rsidRPr="006959A7">
        <w:rPr>
          <w:rStyle w:val="PageNumber"/>
          <w:rFonts w:cs="Times New Roman"/>
        </w:rPr>
        <w:t>ven after controlling for income, race still has a strong imp</w:t>
      </w:r>
      <w:r w:rsidR="00346F5D">
        <w:rPr>
          <w:rStyle w:val="PageNumber"/>
          <w:rFonts w:cs="Times New Roman"/>
        </w:rPr>
        <w:t>act on student loan delinquency.</w:t>
      </w:r>
      <w:r w:rsidR="00346F5D">
        <w:rPr>
          <w:rStyle w:val="FootnoteReference"/>
          <w:rFonts w:cs="Times New Roman"/>
        </w:rPr>
        <w:footnoteReference w:id="22"/>
      </w:r>
      <w:r w:rsidR="00346F5D">
        <w:rPr>
          <w:rStyle w:val="PageNumber"/>
          <w:rFonts w:cs="Times New Roman"/>
        </w:rPr>
        <w:t xml:space="preserve"> A</w:t>
      </w:r>
      <w:r w:rsidRPr="006959A7">
        <w:rPr>
          <w:rStyle w:val="PageNumber"/>
          <w:rFonts w:cs="Times New Roman"/>
        </w:rPr>
        <w:t>nd middle-class minorities are hurt the most by student loan delinquency.</w:t>
      </w:r>
      <w:r w:rsidRPr="006959A7">
        <w:rPr>
          <w:rStyle w:val="PageNumber"/>
          <w:rFonts w:cs="Times New Roman"/>
          <w:vertAlign w:val="superscript"/>
        </w:rPr>
        <w:footnoteReference w:id="23"/>
      </w:r>
      <w:r w:rsidRPr="006959A7">
        <w:rPr>
          <w:rStyle w:val="PageNumber"/>
          <w:rFonts w:cs="Times New Roman"/>
        </w:rPr>
        <w:t xml:space="preserve"> The Center’s Mapping Student Debt Project shows that student debt delinquenc</w:t>
      </w:r>
      <w:r w:rsidRPr="006959A7">
        <w:rPr>
          <w:rStyle w:val="PageNumber"/>
          <w:rFonts w:cs="Times New Roman"/>
        </w:rPr>
        <w:t xml:space="preserve">y tends to be highest in zip codes with high </w:t>
      </w:r>
      <w:r w:rsidR="004C79B4" w:rsidRPr="006959A7">
        <w:rPr>
          <w:rStyle w:val="PageNumber"/>
          <w:rFonts w:cs="Times New Roman"/>
        </w:rPr>
        <w:t>Black</w:t>
      </w:r>
      <w:r w:rsidRPr="006959A7">
        <w:rPr>
          <w:rStyle w:val="PageNumber"/>
          <w:rFonts w:cs="Times New Roman"/>
        </w:rPr>
        <w:t xml:space="preserve"> and </w:t>
      </w:r>
      <w:r w:rsidR="004C79B4" w:rsidRPr="006959A7">
        <w:rPr>
          <w:rStyle w:val="PageNumber"/>
          <w:rFonts w:cs="Times New Roman"/>
        </w:rPr>
        <w:t>Latino</w:t>
      </w:r>
      <w:r w:rsidRPr="006959A7">
        <w:rPr>
          <w:rStyle w:val="PageNumber"/>
          <w:rFonts w:cs="Times New Roman"/>
        </w:rPr>
        <w:t xml:space="preserve"> populations.</w:t>
      </w:r>
      <w:r w:rsidRPr="006959A7">
        <w:rPr>
          <w:rStyle w:val="PageNumber"/>
          <w:rFonts w:cs="Times New Roman"/>
          <w:vertAlign w:val="superscript"/>
        </w:rPr>
        <w:footnoteReference w:id="24"/>
      </w:r>
      <w:r w:rsidRPr="006959A7">
        <w:rPr>
          <w:rStyle w:val="PageNumber"/>
          <w:rFonts w:cs="Times New Roman"/>
        </w:rPr>
        <w:t xml:space="preserve"> </w:t>
      </w:r>
      <w:r w:rsidR="00DF42D1" w:rsidRPr="006959A7">
        <w:rPr>
          <w:rStyle w:val="PageNumber"/>
          <w:rFonts w:cs="Times New Roman"/>
        </w:rPr>
        <w:t>A</w:t>
      </w:r>
      <w:r w:rsidR="0054579A" w:rsidRPr="006959A7">
        <w:rPr>
          <w:rStyle w:val="PageNumber"/>
          <w:rFonts w:cs="Times New Roman"/>
        </w:rPr>
        <w:t xml:space="preserve"> report by the New York City Department of Consumer Affairs (DCA</w:t>
      </w:r>
      <w:r w:rsidR="00DF42D1" w:rsidRPr="006959A7">
        <w:rPr>
          <w:rStyle w:val="PageNumber"/>
          <w:rFonts w:cs="Times New Roman"/>
        </w:rPr>
        <w:t>)</w:t>
      </w:r>
      <w:r w:rsidR="004C79B4" w:rsidRPr="006959A7">
        <w:rPr>
          <w:rStyle w:val="PageNumber"/>
          <w:rFonts w:cs="Times New Roman"/>
        </w:rPr>
        <w:t xml:space="preserve"> found this pattern</w:t>
      </w:r>
      <w:r w:rsidR="00DF42D1" w:rsidRPr="006959A7">
        <w:rPr>
          <w:rStyle w:val="PageNumber"/>
          <w:rFonts w:cs="Times New Roman"/>
        </w:rPr>
        <w:t xml:space="preserve"> hold</w:t>
      </w:r>
      <w:r w:rsidR="004C79B4" w:rsidRPr="006959A7">
        <w:rPr>
          <w:rStyle w:val="PageNumber"/>
          <w:rFonts w:cs="Times New Roman"/>
        </w:rPr>
        <w:t>s</w:t>
      </w:r>
      <w:r w:rsidR="006959A7" w:rsidRPr="006959A7">
        <w:rPr>
          <w:rStyle w:val="PageNumber"/>
          <w:rFonts w:cs="Times New Roman"/>
        </w:rPr>
        <w:t xml:space="preserve"> true in New York City n</w:t>
      </w:r>
      <w:r w:rsidR="00DF42D1" w:rsidRPr="006959A7">
        <w:rPr>
          <w:rStyle w:val="PageNumber"/>
          <w:rFonts w:cs="Times New Roman"/>
        </w:rPr>
        <w:t>eighborhoods.</w:t>
      </w:r>
      <w:r w:rsidR="00DF42D1" w:rsidRPr="006959A7">
        <w:rPr>
          <w:rStyle w:val="FootnoteReference"/>
          <w:rFonts w:cs="Times New Roman"/>
        </w:rPr>
        <w:footnoteReference w:id="25"/>
      </w:r>
      <w:r w:rsidR="0054579A" w:rsidRPr="006959A7">
        <w:rPr>
          <w:rStyle w:val="PageNumber"/>
          <w:rFonts w:cs="Times New Roman"/>
        </w:rPr>
        <w:t xml:space="preserve"> </w:t>
      </w:r>
    </w:p>
    <w:p w14:paraId="4CE027BD" w14:textId="304C3375" w:rsidR="005459BF" w:rsidRPr="006959A7" w:rsidRDefault="00D26A23" w:rsidP="00146AC0">
      <w:pPr>
        <w:suppressAutoHyphens/>
        <w:spacing w:after="200" w:line="276" w:lineRule="auto"/>
        <w:rPr>
          <w:rStyle w:val="PageNumber"/>
          <w:rFonts w:cs="Times New Roman"/>
        </w:rPr>
      </w:pPr>
      <w:r>
        <w:rPr>
          <w:rStyle w:val="PageNumber"/>
          <w:rFonts w:cs="Times New Roman"/>
          <w:i/>
        </w:rPr>
        <w:t>Inadequate</w:t>
      </w:r>
      <w:r w:rsidR="005459BF" w:rsidRPr="006959A7">
        <w:rPr>
          <w:rStyle w:val="PageNumber"/>
          <w:rFonts w:cs="Times New Roman"/>
          <w:i/>
        </w:rPr>
        <w:t xml:space="preserve"> student loan servicing disproportionately affects low-income</w:t>
      </w:r>
      <w:r w:rsidR="00DF42D1" w:rsidRPr="006959A7">
        <w:rPr>
          <w:rStyle w:val="PageNumber"/>
          <w:rFonts w:cs="Times New Roman"/>
          <w:i/>
        </w:rPr>
        <w:t>, disabled,</w:t>
      </w:r>
      <w:r w:rsidR="005459BF" w:rsidRPr="006959A7">
        <w:rPr>
          <w:rStyle w:val="PageNumber"/>
          <w:rFonts w:cs="Times New Roman"/>
          <w:i/>
        </w:rPr>
        <w:t xml:space="preserve"> and elderly borrowers.</w:t>
      </w:r>
      <w:r w:rsidR="00DF42D1" w:rsidRPr="006959A7">
        <w:rPr>
          <w:rStyle w:val="PageNumber"/>
          <w:rFonts w:cs="Times New Roman"/>
          <w:i/>
        </w:rPr>
        <w:t xml:space="preserve"> </w:t>
      </w:r>
      <w:r w:rsidR="00DF42D1" w:rsidRPr="006959A7">
        <w:rPr>
          <w:rStyle w:val="PageNumber"/>
          <w:rFonts w:cs="Times New Roman"/>
        </w:rPr>
        <w:t>I</w:t>
      </w:r>
      <w:r w:rsidR="005459BF" w:rsidRPr="006959A7">
        <w:rPr>
          <w:rFonts w:cs="Times New Roman"/>
        </w:rPr>
        <w:t xml:space="preserve">gnoring the best interests of borrowers is particularly troubling </w:t>
      </w:r>
      <w:r w:rsidR="005459BF" w:rsidRPr="006959A7">
        <w:rPr>
          <w:rFonts w:cs="Times New Roman"/>
        </w:rPr>
        <w:t>be</w:t>
      </w:r>
      <w:r w:rsidR="00EA0D6A">
        <w:rPr>
          <w:rFonts w:cs="Times New Roman"/>
        </w:rPr>
        <w:t>cause doing so</w:t>
      </w:r>
      <w:r w:rsidR="005459BF" w:rsidRPr="006959A7">
        <w:rPr>
          <w:rFonts w:cs="Times New Roman"/>
        </w:rPr>
        <w:t xml:space="preserve"> affects New York’s most vulnerable residents. </w:t>
      </w:r>
      <w:r w:rsidR="00EA0D6A">
        <w:rPr>
          <w:rStyle w:val="PageNumber"/>
          <w:rFonts w:cs="Times New Roman"/>
        </w:rPr>
        <w:t>A</w:t>
      </w:r>
      <w:r w:rsidR="0054579A" w:rsidRPr="006959A7">
        <w:rPr>
          <w:rStyle w:val="PageNumber"/>
          <w:rFonts w:cs="Times New Roman"/>
        </w:rPr>
        <w:t xml:space="preserve"> recent report by the New York </w:t>
      </w:r>
      <w:r w:rsidR="00E62C41">
        <w:rPr>
          <w:rStyle w:val="PageNumber"/>
          <w:rFonts w:cs="Times New Roman"/>
        </w:rPr>
        <w:t xml:space="preserve">City </w:t>
      </w:r>
      <w:r w:rsidR="00EA0D6A">
        <w:rPr>
          <w:rStyle w:val="PageNumber"/>
          <w:rFonts w:cs="Times New Roman"/>
        </w:rPr>
        <w:t xml:space="preserve">DCA </w:t>
      </w:r>
      <w:r w:rsidR="0054579A" w:rsidRPr="006959A7">
        <w:rPr>
          <w:rStyle w:val="PageNumber"/>
          <w:rFonts w:cs="Times New Roman"/>
        </w:rPr>
        <w:t xml:space="preserve">found that higher rates of default </w:t>
      </w:r>
      <w:r w:rsidR="00DF42D1" w:rsidRPr="006959A7">
        <w:rPr>
          <w:rStyle w:val="PageNumber"/>
          <w:rFonts w:cs="Times New Roman"/>
        </w:rPr>
        <w:t xml:space="preserve">and delinquency </w:t>
      </w:r>
      <w:r w:rsidR="0054579A" w:rsidRPr="006959A7">
        <w:rPr>
          <w:rStyle w:val="PageNumber"/>
          <w:rFonts w:cs="Times New Roman"/>
        </w:rPr>
        <w:t>largely correspond to average neighborhood income.</w:t>
      </w:r>
      <w:r w:rsidR="0054579A" w:rsidRPr="006959A7">
        <w:rPr>
          <w:rStyle w:val="PageNumber"/>
          <w:rFonts w:cs="Times New Roman"/>
          <w:vertAlign w:val="superscript"/>
        </w:rPr>
        <w:footnoteReference w:id="26"/>
      </w:r>
      <w:r w:rsidR="0054579A" w:rsidRPr="006959A7">
        <w:rPr>
          <w:rStyle w:val="PageNumber"/>
          <w:rFonts w:cs="Times New Roman"/>
        </w:rPr>
        <w:t xml:space="preserve"> It also found </w:t>
      </w:r>
      <w:r w:rsidR="00E62C41">
        <w:rPr>
          <w:rStyle w:val="PageNumber"/>
          <w:rFonts w:cs="Times New Roman"/>
        </w:rPr>
        <w:t xml:space="preserve">that </w:t>
      </w:r>
      <w:r w:rsidR="00DF42D1" w:rsidRPr="006959A7">
        <w:rPr>
          <w:rStyle w:val="PageNumber"/>
          <w:rFonts w:cs="Times New Roman"/>
        </w:rPr>
        <w:t>older borrowers are more likely to be delinquent or in default on their student loans</w:t>
      </w:r>
      <w:r w:rsidR="00EA0D6A">
        <w:rPr>
          <w:rStyle w:val="PageNumber"/>
          <w:rFonts w:cs="Times New Roman"/>
        </w:rPr>
        <w:t>, which can have devastating effects</w:t>
      </w:r>
      <w:r w:rsidR="00DF42D1" w:rsidRPr="006959A7">
        <w:rPr>
          <w:rStyle w:val="PageNumber"/>
          <w:rFonts w:cs="Times New Roman"/>
        </w:rPr>
        <w:t>.</w:t>
      </w:r>
      <w:r w:rsidR="00DF42D1" w:rsidRPr="006959A7">
        <w:rPr>
          <w:rStyle w:val="FootnoteReference"/>
          <w:rFonts w:cs="Times New Roman"/>
        </w:rPr>
        <w:footnoteReference w:id="27"/>
      </w:r>
      <w:r w:rsidR="000675CE" w:rsidRPr="006959A7">
        <w:rPr>
          <w:rFonts w:cs="Times New Roman"/>
        </w:rPr>
        <w:t xml:space="preserve"> </w:t>
      </w:r>
      <w:r w:rsidR="00202916" w:rsidRPr="006959A7">
        <w:rPr>
          <w:rFonts w:cs="Times New Roman"/>
        </w:rPr>
        <w:t xml:space="preserve">This can have devastating effects for older and disabled borrowers. </w:t>
      </w:r>
      <w:r w:rsidR="000675CE" w:rsidRPr="006959A7">
        <w:rPr>
          <w:rFonts w:cs="Times New Roman"/>
        </w:rPr>
        <w:t xml:space="preserve">A </w:t>
      </w:r>
      <w:r w:rsidR="005459BF" w:rsidRPr="006959A7">
        <w:rPr>
          <w:rFonts w:cs="Times New Roman"/>
        </w:rPr>
        <w:t>GAO report found that in 2015 the federal government garnished the benefits of 114,000 people age 50 and older, more than half of whom were receiving Social Security disability income.</w:t>
      </w:r>
      <w:r w:rsidR="005459BF" w:rsidRPr="006959A7">
        <w:rPr>
          <w:rStyle w:val="FootnoteReference"/>
          <w:rFonts w:cs="Times New Roman"/>
        </w:rPr>
        <w:footnoteReference w:id="28"/>
      </w:r>
      <w:r w:rsidR="00E62C41">
        <w:rPr>
          <w:rFonts w:cs="Times New Roman"/>
        </w:rPr>
        <w:t xml:space="preserve"> </w:t>
      </w:r>
      <w:r w:rsidR="005459BF" w:rsidRPr="006959A7">
        <w:rPr>
          <w:rFonts w:cs="Times New Roman"/>
        </w:rPr>
        <w:t xml:space="preserve">Even though servicers could easily inform these borrowers they </w:t>
      </w:r>
      <w:r w:rsidR="00EA0D6A">
        <w:rPr>
          <w:rFonts w:cs="Times New Roman"/>
        </w:rPr>
        <w:t>may</w:t>
      </w:r>
      <w:r w:rsidR="005459BF" w:rsidRPr="006959A7">
        <w:rPr>
          <w:rFonts w:cs="Times New Roman"/>
        </w:rPr>
        <w:t xml:space="preserve"> qualify for a discharge of their loans based on disability or an income-driven repayment plan of as little as $0 per month, many recipients of SSR and SSD instead are having 15% of their meager benefits garnished. It is not surprising then that the AARP has identified student loan debt as a “looming threat” to the financial security of retirees in part because of the garnishment of their benefits.</w:t>
      </w:r>
      <w:r w:rsidR="005459BF" w:rsidRPr="006959A7">
        <w:rPr>
          <w:rStyle w:val="FootnoteReference"/>
          <w:rFonts w:cs="Times New Roman"/>
        </w:rPr>
        <w:footnoteReference w:id="29"/>
      </w:r>
    </w:p>
    <w:p w14:paraId="0C301783" w14:textId="7BA8E6AA" w:rsidR="00B7588D" w:rsidRPr="006959A7" w:rsidRDefault="00E76D25" w:rsidP="00146AC0">
      <w:pPr>
        <w:suppressAutoHyphens/>
        <w:spacing w:after="200" w:line="276" w:lineRule="auto"/>
        <w:rPr>
          <w:rStyle w:val="PageNumber"/>
          <w:rFonts w:cs="Times New Roman"/>
        </w:rPr>
      </w:pPr>
      <w:r w:rsidRPr="006959A7">
        <w:rPr>
          <w:rStyle w:val="PageNumber"/>
          <w:rFonts w:cs="Times New Roman"/>
          <w:i/>
          <w:iCs/>
        </w:rPr>
        <w:t xml:space="preserve">Despite their vital role in the lives of more than 44 million student loan borrowers and in managing </w:t>
      </w:r>
      <w:r w:rsidR="00E62C41">
        <w:rPr>
          <w:rStyle w:val="PageNumber"/>
          <w:rFonts w:cs="Times New Roman"/>
          <w:i/>
          <w:iCs/>
        </w:rPr>
        <w:t xml:space="preserve">over </w:t>
      </w:r>
      <w:r w:rsidRPr="006959A7">
        <w:rPr>
          <w:rStyle w:val="PageNumber"/>
          <w:rFonts w:cs="Times New Roman"/>
          <w:i/>
          <w:iCs/>
        </w:rPr>
        <w:t>$1.4 trillion dollars in student loans,</w:t>
      </w:r>
      <w:r w:rsidRPr="006959A7">
        <w:rPr>
          <w:rStyle w:val="PageNumber"/>
          <w:rFonts w:cs="Times New Roman"/>
          <w:b/>
          <w:bCs/>
          <w:i/>
          <w:iCs/>
        </w:rPr>
        <w:t xml:space="preserve"> there is currently no fed</w:t>
      </w:r>
      <w:r w:rsidRPr="006959A7">
        <w:rPr>
          <w:rStyle w:val="PageNumber"/>
          <w:rFonts w:cs="Times New Roman"/>
          <w:b/>
          <w:bCs/>
          <w:i/>
          <w:iCs/>
        </w:rPr>
        <w:t>eral supervision of student loan servicers</w:t>
      </w:r>
      <w:r w:rsidR="00E62C41">
        <w:rPr>
          <w:rStyle w:val="PageNumber"/>
          <w:rFonts w:cs="Times New Roman"/>
          <w:b/>
          <w:bCs/>
          <w:i/>
          <w:iCs/>
        </w:rPr>
        <w:t>’ conduct</w:t>
      </w:r>
      <w:r w:rsidRPr="006959A7">
        <w:rPr>
          <w:rStyle w:val="PageNumber"/>
          <w:rFonts w:cs="Times New Roman"/>
          <w:b/>
          <w:bCs/>
        </w:rPr>
        <w:t>.</w:t>
      </w:r>
      <w:r w:rsidRPr="006959A7">
        <w:rPr>
          <w:rStyle w:val="PageNumber"/>
          <w:rFonts w:cs="Times New Roman"/>
        </w:rPr>
        <w:t xml:space="preserve"> The Education Department’s oversight of student loan servicing consists primarily of </w:t>
      </w:r>
      <w:r w:rsidR="00DF42D1" w:rsidRPr="006959A7">
        <w:rPr>
          <w:rStyle w:val="PageNumber"/>
          <w:rFonts w:cs="Times New Roman"/>
        </w:rPr>
        <w:t>programmatic</w:t>
      </w:r>
      <w:r w:rsidRPr="006959A7">
        <w:rPr>
          <w:rStyle w:val="PageNumber"/>
          <w:rFonts w:cs="Times New Roman"/>
        </w:rPr>
        <w:t xml:space="preserve"> guidance. To the extent it is able to adopt polic</w:t>
      </w:r>
      <w:r w:rsidR="00DF42D1" w:rsidRPr="006959A7">
        <w:rPr>
          <w:rStyle w:val="PageNumber"/>
          <w:rFonts w:cs="Times New Roman"/>
        </w:rPr>
        <w:t>i</w:t>
      </w:r>
      <w:r w:rsidRPr="006959A7">
        <w:rPr>
          <w:rStyle w:val="PageNumber"/>
          <w:rFonts w:cs="Times New Roman"/>
        </w:rPr>
        <w:t>es that will protect borrowers, the Education Department, under th</w:t>
      </w:r>
      <w:r w:rsidRPr="006959A7">
        <w:rPr>
          <w:rStyle w:val="PageNumber"/>
          <w:rFonts w:cs="Times New Roman"/>
        </w:rPr>
        <w:t>e current administration,</w:t>
      </w:r>
      <w:r w:rsidR="00E62C41">
        <w:rPr>
          <w:rStyle w:val="PageNumber"/>
          <w:rFonts w:cs="Times New Roman"/>
        </w:rPr>
        <w:t xml:space="preserve"> has sought</w:t>
      </w:r>
      <w:r w:rsidRPr="006959A7">
        <w:rPr>
          <w:rStyle w:val="PageNumber"/>
          <w:rFonts w:cs="Times New Roman"/>
        </w:rPr>
        <w:t xml:space="preserve"> to limit borrower protections. In her time as Secretary of Education, Betsy DeVos has rescinded the Obama administration’s efforts to set reasonable and consistent standards to protect borrowers.</w:t>
      </w:r>
      <w:r w:rsidRPr="006959A7">
        <w:rPr>
          <w:rStyle w:val="PageNumber"/>
          <w:rFonts w:cs="Times New Roman"/>
          <w:vertAlign w:val="superscript"/>
        </w:rPr>
        <w:footnoteReference w:id="30"/>
      </w:r>
      <w:r w:rsidRPr="006959A7">
        <w:rPr>
          <w:rStyle w:val="PageNumber"/>
          <w:rFonts w:cs="Times New Roman"/>
        </w:rPr>
        <w:t xml:space="preserve"> Only three months into her tenure</w:t>
      </w:r>
      <w:r w:rsidRPr="006959A7">
        <w:rPr>
          <w:rStyle w:val="PageNumber"/>
          <w:rFonts w:cs="Times New Roman"/>
        </w:rPr>
        <w:t xml:space="preserve"> as education secretary, </w:t>
      </w:r>
      <w:r w:rsidR="00094AB5">
        <w:rPr>
          <w:rStyle w:val="PageNumber"/>
          <w:rFonts w:cs="Times New Roman"/>
        </w:rPr>
        <w:t>Secretary</w:t>
      </w:r>
      <w:r w:rsidRPr="006959A7">
        <w:rPr>
          <w:rStyle w:val="PageNumber"/>
          <w:rFonts w:cs="Times New Roman"/>
        </w:rPr>
        <w:t xml:space="preserve"> DeVos </w:t>
      </w:r>
      <w:r w:rsidR="00DF42D1" w:rsidRPr="006959A7">
        <w:rPr>
          <w:rFonts w:eastAsia="Times New Roman" w:cs="Times New Roman"/>
          <w:color w:val="auto"/>
          <w:bdr w:val="none" w:sz="0" w:space="0" w:color="auto"/>
        </w:rPr>
        <w:t>withdrew three memos by the former education secretary,</w:t>
      </w:r>
      <w:r w:rsidR="00DF42D1" w:rsidRPr="006959A7">
        <w:rPr>
          <w:rFonts w:eastAsia="Times New Roman" w:cs="Times New Roman"/>
          <w:color w:val="auto"/>
          <w:bdr w:val="none" w:sz="0" w:space="0" w:color="auto"/>
          <w:vertAlign w:val="superscript"/>
        </w:rPr>
        <w:footnoteReference w:id="31"/>
      </w:r>
      <w:r w:rsidR="00094AB5">
        <w:rPr>
          <w:rFonts w:eastAsia="Times New Roman" w:cs="Times New Roman"/>
          <w:color w:val="auto"/>
          <w:bdr w:val="none" w:sz="0" w:space="0" w:color="auto"/>
        </w:rPr>
        <w:t xml:space="preserve"> which: </w:t>
      </w:r>
      <w:r w:rsidR="00DF42D1" w:rsidRPr="006959A7">
        <w:rPr>
          <w:rFonts w:eastAsia="Times New Roman" w:cs="Times New Roman"/>
          <w:color w:val="auto"/>
          <w:bdr w:val="none" w:sz="0" w:space="0" w:color="auto"/>
        </w:rPr>
        <w:t>(1) required servicers to provide borrowers accurate and timely information about their debt;</w:t>
      </w:r>
      <w:r w:rsidR="00DF42D1" w:rsidRPr="006959A7">
        <w:rPr>
          <w:rFonts w:eastAsia="Times New Roman" w:cs="Times New Roman"/>
          <w:color w:val="auto"/>
          <w:bdr w:val="none" w:sz="0" w:space="0" w:color="auto"/>
          <w:vertAlign w:val="superscript"/>
        </w:rPr>
        <w:footnoteReference w:id="32"/>
      </w:r>
      <w:r w:rsidR="00DF42D1" w:rsidRPr="006959A7">
        <w:rPr>
          <w:rFonts w:eastAsia="Times New Roman" w:cs="Times New Roman"/>
          <w:color w:val="auto"/>
          <w:bdr w:val="none" w:sz="0" w:space="0" w:color="auto"/>
        </w:rPr>
        <w:t xml:space="preserve"> (2) provided economic incentives for servicers to keep all borrowers current and conduct targeted outreach to people at great risk of defaulting on their loans;</w:t>
      </w:r>
      <w:r w:rsidR="00DF42D1" w:rsidRPr="006959A7">
        <w:rPr>
          <w:rFonts w:eastAsia="Times New Roman" w:cs="Times New Roman"/>
          <w:color w:val="auto"/>
          <w:bdr w:val="none" w:sz="0" w:space="0" w:color="auto"/>
          <w:vertAlign w:val="superscript"/>
        </w:rPr>
        <w:footnoteReference w:id="33"/>
      </w:r>
      <w:r w:rsidR="00DF42D1" w:rsidRPr="006959A7">
        <w:rPr>
          <w:rFonts w:eastAsia="Times New Roman" w:cs="Times New Roman"/>
          <w:color w:val="auto"/>
          <w:bdr w:val="none" w:sz="0" w:space="0" w:color="auto"/>
        </w:rPr>
        <w:t xml:space="preserve"> (3) created a baseline level of service for all borrowers;</w:t>
      </w:r>
      <w:r w:rsidR="00DF42D1" w:rsidRPr="006959A7">
        <w:rPr>
          <w:rFonts w:eastAsia="Times New Roman" w:cs="Times New Roman"/>
          <w:color w:val="auto"/>
          <w:bdr w:val="none" w:sz="0" w:space="0" w:color="auto"/>
          <w:vertAlign w:val="superscript"/>
        </w:rPr>
        <w:footnoteReference w:id="34"/>
      </w:r>
      <w:r w:rsidR="00DF42D1" w:rsidRPr="006959A7">
        <w:rPr>
          <w:rFonts w:eastAsia="Times New Roman" w:cs="Times New Roman"/>
          <w:color w:val="auto"/>
          <w:bdr w:val="none" w:sz="0" w:space="0" w:color="auto"/>
        </w:rPr>
        <w:t xml:space="preserve"> and (4) required the federal government to consider past performance when handing out new contracts to servicers.</w:t>
      </w:r>
      <w:r w:rsidR="00DF42D1" w:rsidRPr="006959A7">
        <w:rPr>
          <w:rFonts w:eastAsia="Times New Roman" w:cs="Times New Roman"/>
          <w:color w:val="auto"/>
          <w:bdr w:val="none" w:sz="0" w:space="0" w:color="auto"/>
          <w:vertAlign w:val="superscript"/>
        </w:rPr>
        <w:footnoteReference w:id="35"/>
      </w:r>
      <w:r w:rsidR="00DF42D1" w:rsidRPr="006959A7">
        <w:rPr>
          <w:rFonts w:eastAsia="Times New Roman" w:cs="Times New Roman"/>
          <w:color w:val="auto"/>
          <w:bdr w:val="none" w:sz="0" w:space="0" w:color="auto"/>
        </w:rPr>
        <w:t xml:space="preserve"> </w:t>
      </w:r>
      <w:r w:rsidRPr="006959A7">
        <w:rPr>
          <w:rStyle w:val="PageNumber"/>
          <w:rFonts w:cs="Times New Roman"/>
        </w:rPr>
        <w:t xml:space="preserve"> </w:t>
      </w:r>
      <w:r w:rsidR="00FC5878">
        <w:rPr>
          <w:rStyle w:val="PageNumber"/>
          <w:rFonts w:cs="Times New Roman"/>
        </w:rPr>
        <w:t xml:space="preserve">In an August 2017 letter to then-acting Director of the CFPB, Richard Cordray, </w:t>
      </w:r>
      <w:r w:rsidR="00FC5878">
        <w:rPr>
          <w:rStyle w:val="PageNumber"/>
          <w:rFonts w:cs="Times New Roman"/>
        </w:rPr>
        <w:t xml:space="preserve">the Department </w:t>
      </w:r>
      <w:r w:rsidR="00FC5878">
        <w:rPr>
          <w:rStyle w:val="PageNumber"/>
          <w:rFonts w:cs="Times New Roman"/>
        </w:rPr>
        <w:t>provided notice of its intent to rescind a memorandum of understanding between the agencies regarding sharing information in connection with oversight of student loans.</w:t>
      </w:r>
      <w:r w:rsidR="00FC5878">
        <w:rPr>
          <w:rStyle w:val="FootnoteReference"/>
          <w:rFonts w:cs="Times New Roman"/>
        </w:rPr>
        <w:footnoteReference w:id="36"/>
      </w:r>
      <w:r w:rsidR="00FC5878">
        <w:rPr>
          <w:rStyle w:val="PageNumber"/>
          <w:rFonts w:cs="Times New Roman"/>
        </w:rPr>
        <w:t xml:space="preserve"> </w:t>
      </w:r>
      <w:r w:rsidR="00FC5878" w:rsidRPr="006959A7">
        <w:rPr>
          <w:rStyle w:val="PageNumber"/>
          <w:rFonts w:cs="Times New Roman"/>
        </w:rPr>
        <w:t xml:space="preserve"> </w:t>
      </w:r>
      <w:r w:rsidR="00FC5878">
        <w:rPr>
          <w:rStyle w:val="PageNumber"/>
          <w:rFonts w:cs="Times New Roman"/>
        </w:rPr>
        <w:t>The Department also</w:t>
      </w:r>
      <w:r w:rsidRPr="006959A7">
        <w:rPr>
          <w:rStyle w:val="PageNumber"/>
          <w:rFonts w:cs="Times New Roman"/>
        </w:rPr>
        <w:t xml:space="preserve"> informed the CFPB </w:t>
      </w:r>
      <w:r w:rsidR="00FC5878">
        <w:rPr>
          <w:rStyle w:val="PageNumber"/>
          <w:rFonts w:cs="Times New Roman"/>
        </w:rPr>
        <w:t>that handling of complaints about student loan servicers was outside its jurisdiction</w:t>
      </w:r>
      <w:r w:rsidRPr="006959A7">
        <w:rPr>
          <w:rStyle w:val="PageNumber"/>
          <w:rFonts w:cs="Times New Roman"/>
        </w:rPr>
        <w:t>.</w:t>
      </w:r>
      <w:r w:rsidRPr="006959A7">
        <w:rPr>
          <w:rStyle w:val="PageNumber"/>
          <w:rFonts w:cs="Times New Roman"/>
          <w:vertAlign w:val="superscript"/>
        </w:rPr>
        <w:footnoteReference w:id="37"/>
      </w:r>
      <w:r w:rsidRPr="006959A7">
        <w:rPr>
          <w:rStyle w:val="PageNumber"/>
          <w:rFonts w:cs="Times New Roman"/>
        </w:rPr>
        <w:t xml:space="preserve"> </w:t>
      </w:r>
    </w:p>
    <w:p w14:paraId="2C02C13A" w14:textId="046FEFF0" w:rsidR="00B7588D" w:rsidRPr="006959A7" w:rsidRDefault="00E76D25" w:rsidP="00146AC0">
      <w:pPr>
        <w:suppressAutoHyphens/>
        <w:spacing w:after="200" w:line="276" w:lineRule="auto"/>
        <w:rPr>
          <w:rStyle w:val="PageNumber"/>
          <w:rFonts w:cs="Times New Roman"/>
        </w:rPr>
      </w:pPr>
      <w:r w:rsidRPr="006959A7">
        <w:rPr>
          <w:rStyle w:val="PageNumber"/>
          <w:rFonts w:cs="Times New Roman"/>
        </w:rPr>
        <w:t>Further troubling, the Department has sough</w:t>
      </w:r>
      <w:r w:rsidRPr="006959A7">
        <w:rPr>
          <w:rStyle w:val="PageNumber"/>
          <w:rFonts w:cs="Times New Roman"/>
        </w:rPr>
        <w:t xml:space="preserve">t to shield servicer conduct from </w:t>
      </w:r>
      <w:r w:rsidRPr="006959A7">
        <w:rPr>
          <w:rStyle w:val="PageNumber"/>
          <w:rFonts w:cs="Times New Roman"/>
        </w:rPr>
        <w:t>scrutiny by state and federal investigators.</w:t>
      </w:r>
      <w:r w:rsidR="003068E9">
        <w:rPr>
          <w:rStyle w:val="PageNumber"/>
          <w:rFonts w:cs="Times New Roman"/>
        </w:rPr>
        <w:t xml:space="preserve"> </w:t>
      </w:r>
      <w:r w:rsidRPr="006959A7">
        <w:rPr>
          <w:rStyle w:val="PageNumber"/>
          <w:rFonts w:cs="Times New Roman"/>
        </w:rPr>
        <w:t>In December 2017, the Department issued a memorandum claiming that all records held by third-party contractors of the Department, such as servicers, are records of the Depa</w:t>
      </w:r>
      <w:r w:rsidRPr="006959A7">
        <w:rPr>
          <w:rStyle w:val="PageNumber"/>
          <w:rFonts w:cs="Times New Roman"/>
        </w:rPr>
        <w:t>rtment, and any request for such records must be made to the Department itself.</w:t>
      </w:r>
      <w:r w:rsidR="006959A7" w:rsidRPr="006959A7">
        <w:rPr>
          <w:rStyle w:val="FootnoteReference"/>
          <w:rFonts w:cs="Times New Roman"/>
        </w:rPr>
        <w:footnoteReference w:id="38"/>
      </w:r>
      <w:r w:rsidRPr="006959A7">
        <w:rPr>
          <w:rStyle w:val="PageNumber"/>
          <w:rFonts w:cs="Times New Roman"/>
        </w:rPr>
        <w:t xml:space="preserve">  Thus, any </w:t>
      </w:r>
      <w:r w:rsidRPr="006959A7">
        <w:rPr>
          <w:rFonts w:cs="Times New Roman"/>
        </w:rPr>
        <w:t xml:space="preserve">state or federal agency </w:t>
      </w:r>
      <w:r w:rsidR="00E62C41">
        <w:rPr>
          <w:rStyle w:val="PageNumber"/>
          <w:rFonts w:cs="Times New Roman"/>
        </w:rPr>
        <w:t xml:space="preserve">investigating </w:t>
      </w:r>
      <w:r w:rsidRPr="006959A7">
        <w:rPr>
          <w:rStyle w:val="PageNumber"/>
          <w:rFonts w:cs="Times New Roman"/>
        </w:rPr>
        <w:t xml:space="preserve">servicer conduct would have to essentially </w:t>
      </w:r>
      <w:r w:rsidRPr="006959A7">
        <w:rPr>
          <w:rStyle w:val="PageNumber"/>
          <w:rFonts w:cs="Times New Roman"/>
        </w:rPr>
        <w:t xml:space="preserve">seek the approval of the Department. </w:t>
      </w:r>
    </w:p>
    <w:p w14:paraId="00BB903C" w14:textId="0189C9A8" w:rsidR="00B7588D" w:rsidRPr="006959A7" w:rsidRDefault="00094AB5" w:rsidP="00146AC0">
      <w:pPr>
        <w:suppressAutoHyphens/>
        <w:rPr>
          <w:rStyle w:val="PageNumber"/>
          <w:rFonts w:cs="Times New Roman"/>
        </w:rPr>
      </w:pPr>
      <w:r>
        <w:rPr>
          <w:rStyle w:val="PageNumber"/>
          <w:rFonts w:cs="Times New Roman"/>
          <w:i/>
          <w:iCs/>
        </w:rPr>
        <w:br/>
        <w:t>Finally, w</w:t>
      </w:r>
      <w:r w:rsidR="00E76D25" w:rsidRPr="006959A7">
        <w:rPr>
          <w:rStyle w:val="PageNumber"/>
          <w:rFonts w:cs="Times New Roman"/>
          <w:i/>
          <w:iCs/>
        </w:rPr>
        <w:t xml:space="preserve">hen New </w:t>
      </w:r>
      <w:r w:rsidR="00E76D25" w:rsidRPr="006959A7">
        <w:rPr>
          <w:rStyle w:val="PageNumber"/>
          <w:rFonts w:cs="Times New Roman"/>
          <w:i/>
          <w:iCs/>
        </w:rPr>
        <w:t xml:space="preserve">Yorkers with student loans are made aware of affordable repayment options, they </w:t>
      </w:r>
      <w:r w:rsidR="00E76D25" w:rsidRPr="006959A7">
        <w:rPr>
          <w:rStyle w:val="PageNumber"/>
          <w:rFonts w:cs="Times New Roman"/>
          <w:i/>
          <w:iCs/>
        </w:rPr>
        <w:t xml:space="preserve">have more disposable income to support themselves and their families, purchase homes, and </w:t>
      </w:r>
      <w:r>
        <w:rPr>
          <w:rStyle w:val="PageNumber"/>
          <w:rFonts w:cs="Times New Roman"/>
          <w:i/>
          <w:iCs/>
        </w:rPr>
        <w:t xml:space="preserve">to </w:t>
      </w:r>
      <w:r w:rsidR="00E76D25" w:rsidRPr="006959A7">
        <w:rPr>
          <w:rStyle w:val="PageNumber"/>
          <w:rFonts w:cs="Times New Roman"/>
          <w:i/>
          <w:iCs/>
        </w:rPr>
        <w:t>contribute to local and statewide economies</w:t>
      </w:r>
      <w:r w:rsidR="00E76D25" w:rsidRPr="006959A7">
        <w:rPr>
          <w:rStyle w:val="PageNumber"/>
          <w:rFonts w:cs="Times New Roman"/>
        </w:rPr>
        <w:t>.</w:t>
      </w:r>
      <w:r w:rsidR="00E76D25" w:rsidRPr="006959A7">
        <w:rPr>
          <w:rStyle w:val="PageNumber"/>
          <w:rFonts w:eastAsia="Times New Roman" w:cs="Times New Roman"/>
          <w:vertAlign w:val="superscript"/>
        </w:rPr>
        <w:footnoteReference w:id="39"/>
      </w:r>
      <w:r w:rsidR="00E76D25" w:rsidRPr="006959A7">
        <w:rPr>
          <w:rStyle w:val="PageNumber"/>
          <w:rFonts w:cs="Times New Roman"/>
        </w:rPr>
        <w:t xml:space="preserve">  </w:t>
      </w:r>
    </w:p>
    <w:p w14:paraId="3699102F" w14:textId="77777777" w:rsidR="00B7588D" w:rsidRDefault="00B7588D" w:rsidP="00146AC0">
      <w:pPr>
        <w:suppressAutoHyphens/>
        <w:rPr>
          <w:rStyle w:val="PageNumber"/>
          <w:rFonts w:cs="Times New Roman"/>
        </w:rPr>
      </w:pPr>
    </w:p>
    <w:p w14:paraId="3AEC2776" w14:textId="488EFBCE" w:rsidR="00B94B50" w:rsidRDefault="00B94B50" w:rsidP="00146AC0">
      <w:pPr>
        <w:pStyle w:val="ListParagraph"/>
        <w:numPr>
          <w:ilvl w:val="0"/>
          <w:numId w:val="1"/>
        </w:numPr>
        <w:suppressAutoHyphens/>
        <w:rPr>
          <w:rStyle w:val="PageNumber"/>
          <w:rFonts w:cs="Times New Roman"/>
        </w:rPr>
      </w:pPr>
      <w:r>
        <w:rPr>
          <w:rStyle w:val="PageNumber"/>
          <w:rFonts w:cs="Times New Roman"/>
        </w:rPr>
        <w:t>New York Must Enact Legislation to Protect Student Loan Borrowers</w:t>
      </w:r>
    </w:p>
    <w:p w14:paraId="00B205A3" w14:textId="77777777" w:rsidR="00B94B50" w:rsidRPr="00B94B50" w:rsidRDefault="00B94B50" w:rsidP="00146AC0">
      <w:pPr>
        <w:pStyle w:val="ListParagraph"/>
        <w:suppressAutoHyphens/>
        <w:ind w:left="1080"/>
        <w:rPr>
          <w:rStyle w:val="PageNumber"/>
          <w:rFonts w:cs="Times New Roman"/>
        </w:rPr>
      </w:pPr>
    </w:p>
    <w:p w14:paraId="290EB25E" w14:textId="1605285A" w:rsidR="00B7588D" w:rsidRPr="006959A7" w:rsidRDefault="00E76D25" w:rsidP="00146AC0">
      <w:pPr>
        <w:suppressAutoHyphens/>
        <w:spacing w:line="276" w:lineRule="auto"/>
        <w:rPr>
          <w:rFonts w:cs="Times New Roman"/>
        </w:rPr>
      </w:pPr>
      <w:r w:rsidRPr="006959A7">
        <w:rPr>
          <w:rFonts w:cs="Times New Roman"/>
        </w:rPr>
        <w:t>Protecting its citizens from all forms of consumer fraud falls squarely within the historic police power reserved to the states.  State enforcement agencies have long used this power to protect consumers from unfair, decepti</w:t>
      </w:r>
      <w:r w:rsidRPr="006959A7">
        <w:rPr>
          <w:rFonts w:cs="Times New Roman"/>
        </w:rPr>
        <w:t>ve, and fraudulent practices by financial service companies, debt collectors, and other industries.</w:t>
      </w:r>
    </w:p>
    <w:p w14:paraId="2FBDC963" w14:textId="41435A57" w:rsidR="00FB5FBD" w:rsidRDefault="00E76D25" w:rsidP="00146AC0">
      <w:pPr>
        <w:suppressAutoHyphens/>
        <w:spacing w:line="276" w:lineRule="auto"/>
        <w:rPr>
          <w:rStyle w:val="PageNumber"/>
          <w:rFonts w:cs="Times New Roman"/>
        </w:rPr>
      </w:pPr>
      <w:r w:rsidRPr="006959A7">
        <w:rPr>
          <w:rStyle w:val="PageNumber"/>
          <w:rFonts w:cs="Times New Roman"/>
        </w:rPr>
        <w:br/>
      </w:r>
      <w:r w:rsidRPr="006959A7">
        <w:rPr>
          <w:rStyle w:val="PageNumber"/>
          <w:rFonts w:cs="Times New Roman"/>
        </w:rPr>
        <w:t xml:space="preserve">The student loan servicing industry wants </w:t>
      </w:r>
      <w:r w:rsidR="00FB5FBD">
        <w:rPr>
          <w:rStyle w:val="PageNumber"/>
          <w:rFonts w:cs="Times New Roman"/>
        </w:rPr>
        <w:t xml:space="preserve">Secretary </w:t>
      </w:r>
      <w:r w:rsidRPr="006959A7">
        <w:rPr>
          <w:rStyle w:val="PageNumber"/>
          <w:rFonts w:cs="Times New Roman"/>
        </w:rPr>
        <w:t>DeVos to immunize them</w:t>
      </w:r>
      <w:r w:rsidR="00FB5FBD">
        <w:rPr>
          <w:rStyle w:val="PageNumber"/>
          <w:rFonts w:cs="Times New Roman"/>
        </w:rPr>
        <w:t xml:space="preserve"> from state oversight altogether</w:t>
      </w:r>
      <w:r w:rsidRPr="006959A7">
        <w:rPr>
          <w:rStyle w:val="PageNumber"/>
          <w:rFonts w:cs="Times New Roman"/>
        </w:rPr>
        <w:t>. In response to this request by the industry, 26 state att</w:t>
      </w:r>
      <w:r w:rsidRPr="006959A7">
        <w:rPr>
          <w:rStyle w:val="PageNumber"/>
          <w:rFonts w:cs="Times New Roman"/>
        </w:rPr>
        <w:t>orneys general from both red and blue states issued a letter to the Education Department providing in detail why this request clearly exceeds the Department’s authority.</w:t>
      </w:r>
      <w:r w:rsidRPr="006959A7">
        <w:rPr>
          <w:rStyle w:val="PageNumber"/>
          <w:rFonts w:cs="Times New Roman"/>
          <w:vertAlign w:val="superscript"/>
        </w:rPr>
        <w:footnoteReference w:id="40"/>
      </w:r>
      <w:r w:rsidRPr="006959A7">
        <w:rPr>
          <w:rStyle w:val="PageNumber"/>
          <w:rFonts w:cs="Times New Roman"/>
        </w:rPr>
        <w:t xml:space="preserve"> As stated in the letter, the Department has drawn its regulations under the Higher Ed</w:t>
      </w:r>
      <w:r w:rsidRPr="006959A7">
        <w:rPr>
          <w:rStyle w:val="PageNumber"/>
          <w:rFonts w:cs="Times New Roman"/>
        </w:rPr>
        <w:t>ucation Act narrowly to avoid preemption of state laws.</w:t>
      </w:r>
      <w:r w:rsidRPr="006959A7">
        <w:rPr>
          <w:rStyle w:val="PageNumber"/>
          <w:rFonts w:cs="Times New Roman"/>
          <w:vertAlign w:val="superscript"/>
        </w:rPr>
        <w:footnoteReference w:id="41"/>
      </w:r>
      <w:r w:rsidRPr="006959A7">
        <w:rPr>
          <w:rStyle w:val="PageNumber"/>
          <w:rFonts w:cs="Times New Roman"/>
        </w:rPr>
        <w:t xml:space="preserve">  It has done this precisely so that states may fulfill their traditional roles of protecting </w:t>
      </w:r>
      <w:r w:rsidR="00F80E54">
        <w:rPr>
          <w:rStyle w:val="PageNumber"/>
          <w:rFonts w:cs="Times New Roman"/>
        </w:rPr>
        <w:t>their</w:t>
      </w:r>
      <w:r w:rsidRPr="006959A7">
        <w:rPr>
          <w:rStyle w:val="PageNumber"/>
          <w:rFonts w:cs="Times New Roman"/>
        </w:rPr>
        <w:t xml:space="preserve"> citizens from unfair and deceptive practices.</w:t>
      </w:r>
      <w:r w:rsidRPr="006959A7">
        <w:rPr>
          <w:rStyle w:val="PageNumber"/>
          <w:rFonts w:cs="Times New Roman"/>
          <w:vertAlign w:val="superscript"/>
        </w:rPr>
        <w:footnoteReference w:id="42"/>
      </w:r>
      <w:r w:rsidRPr="006959A7">
        <w:rPr>
          <w:rStyle w:val="PageNumber"/>
          <w:rFonts w:cs="Times New Roman"/>
        </w:rPr>
        <w:t xml:space="preserve"> For this very reason, </w:t>
      </w:r>
      <w:r w:rsidRPr="006959A7">
        <w:rPr>
          <w:rStyle w:val="PageNumber"/>
          <w:rFonts w:cs="Times New Roman"/>
          <w:i/>
          <w:iCs/>
        </w:rPr>
        <w:t xml:space="preserve">contracts between the Department </w:t>
      </w:r>
      <w:r w:rsidRPr="006959A7">
        <w:rPr>
          <w:rStyle w:val="PageNumber"/>
          <w:rFonts w:cs="Times New Roman"/>
          <w:i/>
          <w:iCs/>
        </w:rPr>
        <w:t>and its servicers expressly affirm that servicers must comply with state laws and regulations</w:t>
      </w:r>
      <w:r w:rsidRPr="006959A7">
        <w:rPr>
          <w:rStyle w:val="PageNumber"/>
          <w:rFonts w:cs="Times New Roman"/>
        </w:rPr>
        <w:t>.</w:t>
      </w:r>
      <w:r w:rsidRPr="006959A7">
        <w:rPr>
          <w:rStyle w:val="PageNumber"/>
          <w:rFonts w:cs="Times New Roman"/>
          <w:vertAlign w:val="superscript"/>
        </w:rPr>
        <w:footnoteReference w:id="43"/>
      </w:r>
      <w:r w:rsidRPr="006959A7">
        <w:rPr>
          <w:rStyle w:val="PageNumber"/>
          <w:rFonts w:cs="Times New Roman"/>
        </w:rPr>
        <w:t xml:space="preserve"> </w:t>
      </w:r>
      <w:r w:rsidR="00FB5FBD">
        <w:rPr>
          <w:rStyle w:val="PageNumber"/>
          <w:rFonts w:cs="Times New Roman"/>
        </w:rPr>
        <w:t xml:space="preserve">Nevertheless, the Education Department issued an interpretation </w:t>
      </w:r>
      <w:r w:rsidR="00F80E54">
        <w:rPr>
          <w:rStyle w:val="PageNumber"/>
          <w:rFonts w:cs="Times New Roman"/>
        </w:rPr>
        <w:t>stating</w:t>
      </w:r>
      <w:r w:rsidR="00FB5FBD">
        <w:rPr>
          <w:rStyle w:val="PageNumber"/>
          <w:rFonts w:cs="Times New Roman"/>
        </w:rPr>
        <w:t xml:space="preserve"> that the Higher Education Act preempts state regulation of federal student loan servicers.</w:t>
      </w:r>
      <w:r w:rsidR="00FB5FBD">
        <w:rPr>
          <w:rStyle w:val="FootnoteReference"/>
          <w:rFonts w:cs="Times New Roman"/>
        </w:rPr>
        <w:footnoteReference w:id="44"/>
      </w:r>
      <w:r w:rsidR="00FB5FBD">
        <w:rPr>
          <w:rStyle w:val="PageNumber"/>
          <w:rFonts w:cs="Times New Roman"/>
        </w:rPr>
        <w:t xml:space="preserve"> </w:t>
      </w:r>
      <w:r w:rsidR="00EA13CB">
        <w:rPr>
          <w:rStyle w:val="PageNumber"/>
          <w:rFonts w:cs="Times New Roman"/>
        </w:rPr>
        <w:t>This argument</w:t>
      </w:r>
      <w:r w:rsidR="00972D47">
        <w:rPr>
          <w:rStyle w:val="PageNumber"/>
          <w:rFonts w:cs="Times New Roman"/>
        </w:rPr>
        <w:t>, however,</w:t>
      </w:r>
      <w:r w:rsidR="00EA13CB">
        <w:rPr>
          <w:rStyle w:val="PageNumber"/>
          <w:rFonts w:cs="Times New Roman"/>
        </w:rPr>
        <w:t xml:space="preserve"> was rejected in a federal class </w:t>
      </w:r>
      <w:r w:rsidR="00EA13CB">
        <w:t>action against Navient in</w:t>
      </w:r>
      <w:r w:rsidR="00EA13CB">
        <w:t xml:space="preserve"> the </w:t>
      </w:r>
      <w:r w:rsidR="00EA13CB">
        <w:t>Middle District Court of Florida.</w:t>
      </w:r>
      <w:r w:rsidR="00EA13CB">
        <w:rPr>
          <w:rStyle w:val="FootnoteReference"/>
        </w:rPr>
        <w:footnoteReference w:id="45"/>
      </w:r>
    </w:p>
    <w:p w14:paraId="21654B75" w14:textId="77777777" w:rsidR="00FB5FBD" w:rsidRDefault="00FB5FBD" w:rsidP="00146AC0">
      <w:pPr>
        <w:suppressAutoHyphens/>
        <w:spacing w:line="276" w:lineRule="auto"/>
        <w:rPr>
          <w:rStyle w:val="PageNumber"/>
          <w:rFonts w:cs="Times New Roman"/>
        </w:rPr>
      </w:pPr>
    </w:p>
    <w:p w14:paraId="33DD968B" w14:textId="73E1B61D" w:rsidR="00B7588D" w:rsidRPr="006959A7" w:rsidRDefault="00E76D25" w:rsidP="00146AC0">
      <w:pPr>
        <w:suppressAutoHyphens/>
        <w:spacing w:line="276" w:lineRule="auto"/>
        <w:rPr>
          <w:rStyle w:val="PageNumber"/>
          <w:rFonts w:cs="Times New Roman"/>
        </w:rPr>
      </w:pPr>
      <w:r w:rsidRPr="006959A7">
        <w:rPr>
          <w:rStyle w:val="PageNumber"/>
          <w:rFonts w:cs="Times New Roman"/>
        </w:rPr>
        <w:t>The federal government’s efforts to block states from policing banks prior to the 2008 financial crisis enabled reckless lending, which ultimately fanned the fl</w:t>
      </w:r>
      <w:r w:rsidRPr="006959A7">
        <w:rPr>
          <w:rStyle w:val="PageNumber"/>
          <w:rFonts w:cs="Times New Roman"/>
        </w:rPr>
        <w:t xml:space="preserve">ames of the mortgage meltdown. New York must not let this happen </w:t>
      </w:r>
      <w:r w:rsidR="00F80E54">
        <w:rPr>
          <w:rStyle w:val="PageNumber"/>
          <w:rFonts w:cs="Times New Roman"/>
        </w:rPr>
        <w:t>in the context of student lending.</w:t>
      </w:r>
      <w:r w:rsidRPr="006959A7">
        <w:rPr>
          <w:rStyle w:val="PageNumber"/>
          <w:rFonts w:cs="Times New Roman"/>
        </w:rPr>
        <w:t xml:space="preserve"> </w:t>
      </w:r>
    </w:p>
    <w:p w14:paraId="56E51688" w14:textId="77777777" w:rsidR="00B7588D" w:rsidRPr="006959A7" w:rsidRDefault="00B7588D" w:rsidP="00146AC0">
      <w:pPr>
        <w:suppressAutoHyphens/>
        <w:spacing w:line="276" w:lineRule="auto"/>
        <w:rPr>
          <w:rStyle w:val="PageNumber"/>
          <w:rFonts w:cs="Times New Roman"/>
        </w:rPr>
      </w:pPr>
    </w:p>
    <w:p w14:paraId="2D9E368D" w14:textId="110E348A" w:rsidR="00B7588D" w:rsidRPr="006959A7" w:rsidRDefault="00E76D25" w:rsidP="00146AC0">
      <w:pPr>
        <w:suppressAutoHyphens/>
        <w:spacing w:line="276" w:lineRule="auto"/>
        <w:rPr>
          <w:rFonts w:cs="Times New Roman"/>
        </w:rPr>
      </w:pPr>
      <w:r w:rsidRPr="006959A7">
        <w:rPr>
          <w:rFonts w:cs="Times New Roman"/>
        </w:rPr>
        <w:t>Other states are already taking action. Connecticut, California, Illinois, and the District of Columbia have stepped up and enacted bills addressing various abuses in student loan se</w:t>
      </w:r>
      <w:r w:rsidRPr="006959A7">
        <w:rPr>
          <w:rFonts w:cs="Times New Roman"/>
        </w:rPr>
        <w:t>rvicing that prevent borrowers from paying off their student loans. Other states, including New Jersey, Maryland, Virginia, Maine, Massachusetts and Washington are also advancing student loan servicing legislation. New York must not be left behind, and ind</w:t>
      </w:r>
      <w:r w:rsidRPr="006959A7">
        <w:rPr>
          <w:rFonts w:cs="Times New Roman"/>
        </w:rPr>
        <w:t xml:space="preserve">eed should </w:t>
      </w:r>
      <w:r w:rsidR="008839EE">
        <w:rPr>
          <w:rFonts w:cs="Times New Roman"/>
        </w:rPr>
        <w:t>be setting an example for other states.</w:t>
      </w:r>
    </w:p>
    <w:p w14:paraId="6BFC16A3" w14:textId="77777777" w:rsidR="008839EE" w:rsidRDefault="008839EE" w:rsidP="00146AC0">
      <w:pPr>
        <w:suppressAutoHyphens/>
        <w:spacing w:line="276" w:lineRule="auto"/>
        <w:rPr>
          <w:rFonts w:cs="Times New Roman"/>
        </w:rPr>
      </w:pPr>
    </w:p>
    <w:p w14:paraId="0F4883FC" w14:textId="6308F513" w:rsidR="008839EE" w:rsidRDefault="008839EE" w:rsidP="00146AC0">
      <w:pPr>
        <w:suppressAutoHyphens/>
        <w:spacing w:line="276" w:lineRule="auto"/>
        <w:rPr>
          <w:rFonts w:cs="Times New Roman"/>
        </w:rPr>
      </w:pPr>
      <w:r>
        <w:rPr>
          <w:rFonts w:cs="Times New Roman"/>
        </w:rPr>
        <w:t>Finally, i</w:t>
      </w:r>
      <w:r w:rsidRPr="006959A7">
        <w:rPr>
          <w:rFonts w:cs="Times New Roman"/>
        </w:rPr>
        <w:t xml:space="preserve">n protecting New Yorkers from fraud and deceit by student loan servicers, DFS should not be hamstrung by </w:t>
      </w:r>
      <w:r w:rsidR="00F80E54">
        <w:rPr>
          <w:rFonts w:cs="Times New Roman"/>
        </w:rPr>
        <w:t>having to prove</w:t>
      </w:r>
      <w:r w:rsidRPr="006959A7">
        <w:rPr>
          <w:rFonts w:cs="Times New Roman"/>
        </w:rPr>
        <w:t xml:space="preserve"> that servicers have “knowingly” made a false statement or omission of material fact in connection with any information or reports f</w:t>
      </w:r>
      <w:r w:rsidR="00F80E54">
        <w:rPr>
          <w:rFonts w:cs="Times New Roman"/>
        </w:rPr>
        <w:t>iled with a governmental agency—a burden of proof generally reserved for criminal prosecutions.</w:t>
      </w:r>
      <w:r w:rsidRPr="006959A7">
        <w:rPr>
          <w:rFonts w:cs="Times New Roman"/>
        </w:rPr>
        <w:t xml:space="preserve"> </w:t>
      </w:r>
      <w:r w:rsidR="00D27977">
        <w:rPr>
          <w:rFonts w:cs="Times New Roman"/>
        </w:rPr>
        <w:t xml:space="preserve">The Connecticut Bill of Rights, which </w:t>
      </w:r>
      <w:r w:rsidR="00F80E54">
        <w:rPr>
          <w:rFonts w:cs="Times New Roman"/>
        </w:rPr>
        <w:t>has been a model</w:t>
      </w:r>
      <w:r w:rsidR="00D27977">
        <w:rPr>
          <w:rFonts w:cs="Times New Roman"/>
        </w:rPr>
        <w:t xml:space="preserve"> </w:t>
      </w:r>
      <w:r w:rsidR="00F80E54">
        <w:rPr>
          <w:rFonts w:cs="Times New Roman"/>
        </w:rPr>
        <w:t>for other states’ statutes</w:t>
      </w:r>
      <w:r w:rsidR="00D27977">
        <w:rPr>
          <w:rFonts w:cs="Times New Roman"/>
        </w:rPr>
        <w:t xml:space="preserve">, does not have this requirement. </w:t>
      </w:r>
      <w:r w:rsidR="00F80E54">
        <w:rPr>
          <w:rFonts w:cs="Times New Roman"/>
        </w:rPr>
        <w:t>That burden of proof is</w:t>
      </w:r>
      <w:r w:rsidR="00D27977">
        <w:rPr>
          <w:rFonts w:cs="Times New Roman"/>
        </w:rPr>
        <w:t xml:space="preserve"> also</w:t>
      </w:r>
      <w:r>
        <w:rPr>
          <w:rFonts w:cs="Times New Roman"/>
        </w:rPr>
        <w:t xml:space="preserve"> not required in state rules governing mortgage servicing or </w:t>
      </w:r>
      <w:r w:rsidRPr="006959A7">
        <w:rPr>
          <w:rFonts w:cs="Times New Roman"/>
        </w:rPr>
        <w:t>N</w:t>
      </w:r>
      <w:r>
        <w:rPr>
          <w:rFonts w:cs="Times New Roman"/>
        </w:rPr>
        <w:t xml:space="preserve">ew </w:t>
      </w:r>
      <w:r w:rsidRPr="006959A7">
        <w:rPr>
          <w:rFonts w:cs="Times New Roman"/>
        </w:rPr>
        <w:t>Y</w:t>
      </w:r>
      <w:r>
        <w:rPr>
          <w:rFonts w:cs="Times New Roman"/>
        </w:rPr>
        <w:t xml:space="preserve">ork </w:t>
      </w:r>
      <w:r w:rsidRPr="006959A7">
        <w:rPr>
          <w:rFonts w:cs="Times New Roman"/>
        </w:rPr>
        <w:t>C</w:t>
      </w:r>
      <w:r>
        <w:rPr>
          <w:rFonts w:cs="Times New Roman"/>
        </w:rPr>
        <w:t>ity</w:t>
      </w:r>
      <w:r w:rsidRPr="006959A7">
        <w:rPr>
          <w:rFonts w:cs="Times New Roman"/>
        </w:rPr>
        <w:t xml:space="preserve"> DCA </w:t>
      </w:r>
      <w:r>
        <w:rPr>
          <w:rFonts w:cs="Times New Roman"/>
        </w:rPr>
        <w:t xml:space="preserve">regulation of debt collectors. </w:t>
      </w:r>
      <w:r w:rsidRPr="006959A7">
        <w:rPr>
          <w:rFonts w:cs="Times New Roman"/>
        </w:rPr>
        <w:t xml:space="preserve">This </w:t>
      </w:r>
      <w:r w:rsidR="00D27977">
        <w:rPr>
          <w:rFonts w:cs="Times New Roman"/>
        </w:rPr>
        <w:t xml:space="preserve">requirement </w:t>
      </w:r>
      <w:r w:rsidRPr="006959A7">
        <w:rPr>
          <w:rFonts w:cs="Times New Roman"/>
        </w:rPr>
        <w:t xml:space="preserve">would unnecessarily hamper the ability of DFS to ensure that servicers are providing the Department and other governmental agencies with accurate information. </w:t>
      </w:r>
    </w:p>
    <w:p w14:paraId="0285F431" w14:textId="77777777" w:rsidR="00D27977" w:rsidRDefault="00D27977" w:rsidP="00146AC0">
      <w:pPr>
        <w:suppressAutoHyphens/>
        <w:spacing w:line="276" w:lineRule="auto"/>
        <w:rPr>
          <w:rFonts w:cs="Times New Roman"/>
        </w:rPr>
      </w:pPr>
    </w:p>
    <w:p w14:paraId="577486EA" w14:textId="24F76760" w:rsidR="00D27977" w:rsidRDefault="00D27977" w:rsidP="00146AC0">
      <w:pPr>
        <w:suppressAutoHyphens/>
        <w:spacing w:line="276" w:lineRule="auto"/>
        <w:rPr>
          <w:rFonts w:cs="Times New Roman"/>
        </w:rPr>
      </w:pPr>
      <w:r w:rsidRPr="006959A7">
        <w:rPr>
          <w:rStyle w:val="PageNumber"/>
          <w:rFonts w:cs="Times New Roman"/>
          <w:i/>
          <w:iCs/>
        </w:rPr>
        <w:t>In light of the national student loan crisis</w:t>
      </w:r>
      <w:r w:rsidRPr="006959A7">
        <w:rPr>
          <w:rFonts w:cs="Times New Roman"/>
        </w:rPr>
        <w:t xml:space="preserve">, this is a critical time for New York to take a stand on behalf of student loan borrowers. New York must demonstrate that it is willing to be at the forefront of this fight to protect the rights of student borrowers. Student loans affect the financial wellbeing of millions of New Yorkers. </w:t>
      </w:r>
      <w:r w:rsidR="00F80E54">
        <w:rPr>
          <w:rFonts w:cs="Times New Roman"/>
        </w:rPr>
        <w:t>New Yorkers</w:t>
      </w:r>
      <w:r w:rsidRPr="006959A7">
        <w:rPr>
          <w:rFonts w:cs="Times New Roman"/>
        </w:rPr>
        <w:t xml:space="preserve"> deserve the right to transparent, accurate information about their loans and servicers that act in the best interests of their customers.</w:t>
      </w:r>
    </w:p>
    <w:p w14:paraId="0451CFB4" w14:textId="77777777" w:rsidR="00B7588D" w:rsidRPr="006959A7" w:rsidRDefault="00B7588D" w:rsidP="00146AC0">
      <w:pPr>
        <w:suppressAutoHyphens/>
        <w:spacing w:line="276" w:lineRule="auto"/>
        <w:rPr>
          <w:rFonts w:cs="Times New Roman"/>
        </w:rPr>
      </w:pPr>
    </w:p>
    <w:p w14:paraId="175377A4" w14:textId="305EF384" w:rsidR="00B7588D" w:rsidRPr="00B94B50" w:rsidRDefault="00E76D25" w:rsidP="00146AC0">
      <w:pPr>
        <w:suppressAutoHyphens/>
        <w:spacing w:after="200" w:line="276" w:lineRule="auto"/>
        <w:rPr>
          <w:rStyle w:val="PageNumber"/>
          <w:rFonts w:cs="Times New Roman"/>
        </w:rPr>
      </w:pPr>
      <w:r w:rsidRPr="00D27977">
        <w:rPr>
          <w:rStyle w:val="PageNumber"/>
          <w:rFonts w:cs="Times New Roman"/>
          <w:bCs/>
        </w:rPr>
        <w:t>Student loan borrowers have basic rights that need to be protected from unfair and deceptive servicing practices, similar</w:t>
      </w:r>
      <w:r w:rsidRPr="00D27977">
        <w:rPr>
          <w:rStyle w:val="PageNumber"/>
          <w:rFonts w:cs="Times New Roman"/>
          <w:bCs/>
        </w:rPr>
        <w:t xml:space="preserve"> to the mortgage servicing protections and standards that homeowners enjoy. In order to protect these rights, New York must fill the void in providing oversight of these unregulated, non-bank entities.</w:t>
      </w:r>
    </w:p>
    <w:p w14:paraId="782198C1" w14:textId="77777777" w:rsidR="00B7588D" w:rsidRPr="006959A7" w:rsidRDefault="00E76D25" w:rsidP="00146AC0">
      <w:pPr>
        <w:pStyle w:val="NormalWeb"/>
        <w:shd w:val="clear" w:color="auto" w:fill="FFFFFF"/>
        <w:suppressAutoHyphens/>
        <w:spacing w:before="0" w:after="0"/>
        <w:rPr>
          <w:rStyle w:val="PageNumber"/>
          <w:rFonts w:cs="Times New Roman"/>
          <w:i/>
          <w:iCs/>
        </w:rPr>
      </w:pPr>
      <w:r w:rsidRPr="006959A7">
        <w:rPr>
          <w:rStyle w:val="PageNumber"/>
          <w:rFonts w:cs="Times New Roman"/>
          <w:i/>
          <w:iCs/>
        </w:rPr>
        <w:t xml:space="preserve">For any questions about this memo in support, please </w:t>
      </w:r>
      <w:r w:rsidRPr="006959A7">
        <w:rPr>
          <w:rStyle w:val="PageNumber"/>
          <w:rFonts w:cs="Times New Roman"/>
          <w:i/>
          <w:iCs/>
        </w:rPr>
        <w:t xml:space="preserve">feel free to contact Evan Denerstein at (212) 417-3760 or edenerstein@mfjlegal.org.  </w:t>
      </w:r>
    </w:p>
    <w:sectPr w:rsidR="00B7588D" w:rsidRPr="006959A7">
      <w:headerReference w:type="default" r:id="rId9"/>
      <w:footerReference w:type="default" r:id="rId10"/>
      <w:headerReference w:type="first" r:id="rId11"/>
      <w:footerReference w:type="first" r:id="rId12"/>
      <w:pgSz w:w="12240" w:h="15840"/>
      <w:pgMar w:top="864" w:right="81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D93D6" w14:textId="77777777" w:rsidR="00000000" w:rsidRDefault="00E76D25">
      <w:r>
        <w:separator/>
      </w:r>
    </w:p>
  </w:endnote>
  <w:endnote w:type="continuationSeparator" w:id="0">
    <w:p w14:paraId="4C58E661" w14:textId="77777777" w:rsidR="00000000" w:rsidRDefault="00E7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EB8AE" w14:textId="77777777" w:rsidR="00B7588D" w:rsidRDefault="00E76D25">
    <w:pPr>
      <w:pStyle w:val="Footer"/>
      <w:jc w:val="center"/>
    </w:pPr>
    <w:r>
      <w:fldChar w:fldCharType="begin"/>
    </w:r>
    <w:r>
      <w:instrText xml:space="preserve"> PAGE </w:instrText>
    </w:r>
    <w:r>
      <w:fldChar w:fldCharType="separate"/>
    </w:r>
    <w:r>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5C5A" w14:textId="77777777" w:rsidR="00B7588D" w:rsidRDefault="00B7588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CFF71" w14:textId="77777777" w:rsidR="00B7588D" w:rsidRDefault="00E76D25">
      <w:r>
        <w:separator/>
      </w:r>
    </w:p>
  </w:footnote>
  <w:footnote w:type="continuationSeparator" w:id="0">
    <w:p w14:paraId="4D73B827" w14:textId="77777777" w:rsidR="00B7588D" w:rsidRDefault="00E76D25">
      <w:r>
        <w:continuationSeparator/>
      </w:r>
    </w:p>
  </w:footnote>
  <w:footnote w:type="continuationNotice" w:id="1">
    <w:p w14:paraId="401687F5" w14:textId="77777777" w:rsidR="00B7588D" w:rsidRDefault="00B7588D"/>
  </w:footnote>
  <w:footnote w:id="2">
    <w:p w14:paraId="2E450A6B" w14:textId="5A24C2E1" w:rsidR="00B7588D" w:rsidRPr="00E619B6" w:rsidRDefault="00E76D25">
      <w:pPr>
        <w:pStyle w:val="FootnoteText"/>
      </w:pPr>
      <w:r w:rsidRPr="00E619B6">
        <w:rPr>
          <w:rStyle w:val="PageNumber"/>
          <w:vertAlign w:val="superscript"/>
        </w:rPr>
        <w:footnoteRef/>
      </w:r>
      <w:r w:rsidR="002E3888" w:rsidRPr="00E619B6">
        <w:rPr>
          <w:rStyle w:val="Hyperlink0"/>
          <w:color w:val="auto"/>
          <w:u w:val="none"/>
        </w:rPr>
        <w:t xml:space="preserve"> Federal Reserve Bank of New York, Household Debt and Credit Report (Q3 2018), </w:t>
      </w:r>
      <w:r w:rsidR="002E3888" w:rsidRPr="00E619B6">
        <w:rPr>
          <w:rStyle w:val="Hyperlink0"/>
          <w:i/>
          <w:color w:val="auto"/>
          <w:u w:val="none"/>
        </w:rPr>
        <w:t xml:space="preserve">available at </w:t>
      </w:r>
      <w:r w:rsidRPr="00E619B6">
        <w:rPr>
          <w:rStyle w:val="Hyperlink0"/>
          <w:rFonts w:eastAsia="Arial Unicode MS" w:cs="Arial Unicode MS"/>
          <w:color w:val="auto"/>
          <w:u w:val="none"/>
        </w:rPr>
        <w:t>https://www.newyorkfed.org/microeconomics/hhdc.html</w:t>
      </w:r>
    </w:p>
  </w:footnote>
  <w:footnote w:id="3">
    <w:p w14:paraId="29AD64DE"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Office of the State Comptroller, Student Loan Debt in New York State, 1, September 2016, </w:t>
      </w:r>
      <w:r w:rsidRPr="00E619B6">
        <w:rPr>
          <w:rStyle w:val="PageNumber"/>
          <w:rFonts w:eastAsia="Arial Unicode MS" w:cs="Arial Unicode MS"/>
          <w:i/>
          <w:iCs/>
        </w:rPr>
        <w:t>available at</w:t>
      </w:r>
      <w:r w:rsidRPr="00E619B6">
        <w:rPr>
          <w:rFonts w:eastAsia="Arial Unicode MS" w:cs="Arial Unicode MS"/>
        </w:rPr>
        <w:t xml:space="preserve"> https://www.osc.state.ny.us/reports/highered/</w:t>
      </w:r>
      <w:r w:rsidRPr="00E619B6">
        <w:rPr>
          <w:rFonts w:eastAsia="Arial Unicode MS" w:cs="Arial Unicode MS"/>
        </w:rPr>
        <w:t>student_loan_debt.pdf.</w:t>
      </w:r>
    </w:p>
  </w:footnote>
  <w:footnote w:id="4">
    <w:p w14:paraId="7C0362C0"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Consumer Financial Protection Bureau, Student Loan Servicing, Analysis of Public Input and Recommendations for Reform, 25, September 2015, </w:t>
      </w:r>
      <w:r w:rsidRPr="00E619B6">
        <w:rPr>
          <w:rStyle w:val="PageNumber"/>
          <w:rFonts w:eastAsia="Arial Unicode MS" w:cs="Arial Unicode MS"/>
          <w:i/>
          <w:iCs/>
        </w:rPr>
        <w:t>available at</w:t>
      </w:r>
      <w:r w:rsidRPr="00E619B6">
        <w:rPr>
          <w:rFonts w:eastAsia="Arial Unicode MS" w:cs="Arial Unicode MS"/>
        </w:rPr>
        <w:t xml:space="preserve"> http://files.consumerfinance.gov/f/201509_cfpb_student-loan-servicing-report.pd</w:t>
      </w:r>
      <w:r w:rsidRPr="00E619B6">
        <w:rPr>
          <w:rFonts w:eastAsia="Arial Unicode MS" w:cs="Arial Unicode MS"/>
        </w:rPr>
        <w:t xml:space="preserve">f (hereinafter </w:t>
      </w:r>
      <w:r w:rsidRPr="00E619B6">
        <w:rPr>
          <w:rFonts w:eastAsia="Arial Unicode MS" w:cs="Arial Unicode MS"/>
        </w:rPr>
        <w:t>“</w:t>
      </w:r>
      <w:r w:rsidRPr="00E619B6">
        <w:rPr>
          <w:rFonts w:eastAsia="Arial Unicode MS" w:cs="Arial Unicode MS"/>
        </w:rPr>
        <w:t>Student Loan Servicing</w:t>
      </w:r>
      <w:r w:rsidRPr="00E619B6">
        <w:rPr>
          <w:rFonts w:eastAsia="Arial Unicode MS" w:cs="Arial Unicode MS"/>
        </w:rPr>
        <w:t>”</w:t>
      </w:r>
      <w:r w:rsidRPr="00E619B6">
        <w:rPr>
          <w:rFonts w:eastAsia="Arial Unicode MS" w:cs="Arial Unicode MS"/>
        </w:rPr>
        <w:t xml:space="preserve">).  </w:t>
      </w:r>
    </w:p>
  </w:footnote>
  <w:footnote w:id="5">
    <w:p w14:paraId="28F0523E" w14:textId="77777777" w:rsidR="00B7588D" w:rsidRPr="00E619B6" w:rsidRDefault="00E76D25">
      <w:pPr>
        <w:pStyle w:val="FootnoteText"/>
      </w:pPr>
      <w:r w:rsidRPr="00E619B6">
        <w:rPr>
          <w:rStyle w:val="FootnoteReference"/>
        </w:rPr>
        <w:footnoteRef/>
      </w:r>
      <w:r w:rsidRPr="00E619B6">
        <w:rPr>
          <w:rFonts w:eastAsia="Arial Unicode MS" w:cs="Arial Unicode MS"/>
        </w:rPr>
        <w:t xml:space="preserve"> United States Government Accountability Office, Report to Congress, Federal Student Loans: Education Could Do More to Help Ensure Borrowers Are Aware of Repayment and Forgiveness Options, 13, August 2015, </w:t>
      </w:r>
      <w:r w:rsidRPr="00E619B6">
        <w:rPr>
          <w:rStyle w:val="PageNumber"/>
          <w:rFonts w:eastAsia="Arial Unicode MS" w:cs="Arial Unicode MS"/>
          <w:i/>
          <w:iCs/>
        </w:rPr>
        <w:t>avail</w:t>
      </w:r>
      <w:r w:rsidRPr="00E619B6">
        <w:rPr>
          <w:rStyle w:val="PageNumber"/>
          <w:rFonts w:eastAsia="Arial Unicode MS" w:cs="Arial Unicode MS"/>
          <w:i/>
          <w:iCs/>
        </w:rPr>
        <w:t>able at</w:t>
      </w:r>
      <w:r w:rsidRPr="00E619B6">
        <w:rPr>
          <w:rFonts w:eastAsia="Arial Unicode MS" w:cs="Arial Unicode MS"/>
        </w:rPr>
        <w:t xml:space="preserve"> https://www.gao.gov/assets/680/672136.pdf.</w:t>
      </w:r>
    </w:p>
  </w:footnote>
  <w:footnote w:id="6">
    <w:p w14:paraId="268FDCFB" w14:textId="34802970" w:rsidR="00B7588D" w:rsidRPr="00E619B6" w:rsidRDefault="00E76D25">
      <w:pPr>
        <w:pStyle w:val="FootnoteText"/>
      </w:pPr>
      <w:r w:rsidRPr="00E619B6">
        <w:rPr>
          <w:rStyle w:val="FootnoteReference"/>
        </w:rPr>
        <w:footnoteRef/>
      </w:r>
      <w:r w:rsidRPr="00E619B6">
        <w:rPr>
          <w:rFonts w:eastAsia="Arial Unicode MS" w:cs="Arial Unicode MS"/>
        </w:rPr>
        <w:t xml:space="preserve"> </w:t>
      </w:r>
      <w:r w:rsidRPr="00E619B6">
        <w:rPr>
          <w:rStyle w:val="PageNumber"/>
          <w:rFonts w:eastAsia="Arial Unicode MS" w:cs="Arial Unicode MS"/>
          <w:i/>
          <w:iCs/>
        </w:rPr>
        <w:t>Id</w:t>
      </w:r>
      <w:r w:rsidRPr="00E619B6">
        <w:rPr>
          <w:rFonts w:eastAsia="Arial Unicode MS" w:cs="Arial Unicode MS"/>
        </w:rPr>
        <w:t xml:space="preserve"> at 22.</w:t>
      </w:r>
    </w:p>
  </w:footnote>
  <w:footnote w:id="7">
    <w:p w14:paraId="3CA63B01" w14:textId="0E4C88B6" w:rsidR="003F7F54" w:rsidRPr="00E619B6" w:rsidRDefault="003F7F54">
      <w:pPr>
        <w:pStyle w:val="FootnoteText"/>
      </w:pPr>
      <w:r w:rsidRPr="00E619B6">
        <w:rPr>
          <w:rStyle w:val="FootnoteReference"/>
        </w:rPr>
        <w:footnoteRef/>
      </w:r>
      <w:r w:rsidRPr="00E619B6">
        <w:t xml:space="preserve"> </w:t>
      </w:r>
      <w:r w:rsidR="002E3888" w:rsidRPr="00E619B6">
        <w:t xml:space="preserve">Federal Student Aid, </w:t>
      </w:r>
      <w:r w:rsidR="002E3888" w:rsidRPr="00E619B6">
        <w:rPr>
          <w:i/>
        </w:rPr>
        <w:t>Navient Use of Forbearance</w:t>
      </w:r>
      <w:r w:rsidR="002E3888" w:rsidRPr="00E619B6">
        <w:t xml:space="preserve"> (May 18, 2017) </w:t>
      </w:r>
      <w:r w:rsidR="002E3888" w:rsidRPr="00E619B6">
        <w:rPr>
          <w:i/>
        </w:rPr>
        <w:t>available at</w:t>
      </w:r>
      <w:r w:rsidR="002E3888" w:rsidRPr="00E619B6">
        <w:t xml:space="preserve"> https://www.documentcloud.org/documents/5205070-May-2017-FSA-Audit-Report.html.</w:t>
      </w:r>
    </w:p>
  </w:footnote>
  <w:footnote w:id="8">
    <w:p w14:paraId="38851559" w14:textId="2305E71E" w:rsidR="003F7F54" w:rsidRPr="00E619B6" w:rsidRDefault="003F7F54">
      <w:pPr>
        <w:pStyle w:val="FootnoteText"/>
      </w:pPr>
      <w:r w:rsidRPr="00E619B6">
        <w:rPr>
          <w:rStyle w:val="FootnoteReference"/>
        </w:rPr>
        <w:footnoteRef/>
      </w:r>
      <w:r w:rsidRPr="00E619B6">
        <w:t xml:space="preserve"> </w:t>
      </w:r>
      <w:r w:rsidRPr="00E619B6">
        <w:rPr>
          <w:i/>
        </w:rPr>
        <w:t>I</w:t>
      </w:r>
      <w:r w:rsidR="00E619B6">
        <w:rPr>
          <w:i/>
        </w:rPr>
        <w:t xml:space="preserve">d </w:t>
      </w:r>
      <w:r w:rsidRPr="00E619B6">
        <w:t xml:space="preserve">at </w:t>
      </w:r>
      <w:r w:rsidR="001D15B1" w:rsidRPr="00E619B6">
        <w:t>2.</w:t>
      </w:r>
    </w:p>
  </w:footnote>
  <w:footnote w:id="9">
    <w:p w14:paraId="5EEA6497" w14:textId="421C3DBD" w:rsidR="003F7F54" w:rsidRPr="00E619B6" w:rsidRDefault="003F7F54">
      <w:pPr>
        <w:pStyle w:val="FootnoteText"/>
      </w:pPr>
      <w:r w:rsidRPr="00E619B6">
        <w:rPr>
          <w:rStyle w:val="FootnoteReference"/>
        </w:rPr>
        <w:footnoteRef/>
      </w:r>
      <w:r w:rsidRPr="00E619B6">
        <w:t xml:space="preserve"> </w:t>
      </w:r>
      <w:r w:rsidRPr="00E619B6">
        <w:rPr>
          <w:i/>
        </w:rPr>
        <w:t>Id.</w:t>
      </w:r>
      <w:r w:rsidR="001D15B1" w:rsidRPr="00E619B6">
        <w:t xml:space="preserve"> </w:t>
      </w:r>
    </w:p>
  </w:footnote>
  <w:footnote w:id="10">
    <w:p w14:paraId="18646643" w14:textId="367CA27D" w:rsidR="00B7588D" w:rsidRPr="00E619B6" w:rsidRDefault="00E76D25">
      <w:pPr>
        <w:pStyle w:val="FootnoteText"/>
      </w:pPr>
      <w:r w:rsidRPr="00E619B6">
        <w:rPr>
          <w:rStyle w:val="FootnoteReference"/>
        </w:rPr>
        <w:footnoteRef/>
      </w:r>
      <w:r w:rsidRPr="00E619B6">
        <w:rPr>
          <w:rFonts w:eastAsia="Arial Unicode MS" w:cs="Arial Unicode MS"/>
        </w:rPr>
        <w:t xml:space="preserve"> </w:t>
      </w:r>
      <w:r w:rsidR="000A2860" w:rsidRPr="00E619B6">
        <w:rPr>
          <w:rFonts w:eastAsia="Arial Unicode MS" w:cs="Arial Unicode MS"/>
        </w:rPr>
        <w:t xml:space="preserve">United States Government Accountability Office, Report to Congressional Requesters, Public Service Loan Forgiveness (September 2018) </w:t>
      </w:r>
      <w:r w:rsidR="000A2860" w:rsidRPr="00E619B6">
        <w:rPr>
          <w:rFonts w:eastAsia="Arial Unicode MS" w:cs="Arial Unicode MS"/>
          <w:i/>
        </w:rPr>
        <w:t xml:space="preserve">available at </w:t>
      </w:r>
      <w:r w:rsidRPr="00E619B6">
        <w:rPr>
          <w:rStyle w:val="Hyperlink0"/>
          <w:rFonts w:eastAsia="Arial Unicode MS" w:cs="Arial Unicode MS"/>
          <w:color w:val="auto"/>
          <w:u w:val="none"/>
        </w:rPr>
        <w:t>https://www.gao.gov/assets/700/694304.pdf</w:t>
      </w:r>
      <w:r w:rsidR="000A2860" w:rsidRPr="00E619B6">
        <w:rPr>
          <w:rStyle w:val="Hyperlink0"/>
          <w:rFonts w:eastAsia="Arial Unicode MS" w:cs="Arial Unicode MS"/>
          <w:color w:val="auto"/>
          <w:u w:val="none"/>
        </w:rPr>
        <w:t>.</w:t>
      </w:r>
    </w:p>
  </w:footnote>
  <w:footnote w:id="11">
    <w:p w14:paraId="5EB3DC73" w14:textId="77777777" w:rsidR="00B7588D" w:rsidRPr="00E619B6" w:rsidRDefault="00E76D25">
      <w:pPr>
        <w:pStyle w:val="FootnoteText"/>
      </w:pPr>
      <w:r w:rsidRPr="00E619B6">
        <w:rPr>
          <w:rStyle w:val="FootnoteReference"/>
        </w:rPr>
        <w:footnoteRef/>
      </w:r>
      <w:r w:rsidRPr="00E619B6">
        <w:rPr>
          <w:rFonts w:eastAsia="Arial Unicode MS" w:cs="Arial Unicode MS"/>
        </w:rPr>
        <w:t xml:space="preserve"> </w:t>
      </w:r>
      <w:r w:rsidRPr="00E619B6">
        <w:rPr>
          <w:rFonts w:eastAsia="Arial Unicode MS" w:cs="Arial Unicode MS"/>
          <w:i/>
        </w:rPr>
        <w:t>Id.</w:t>
      </w:r>
    </w:p>
  </w:footnote>
  <w:footnote w:id="12">
    <w:p w14:paraId="602001EE" w14:textId="73E09A57" w:rsidR="00146AC0" w:rsidRPr="00146AC0" w:rsidRDefault="00146AC0">
      <w:pPr>
        <w:pStyle w:val="FootnoteText"/>
      </w:pPr>
      <w:r>
        <w:rPr>
          <w:rStyle w:val="FootnoteReference"/>
        </w:rPr>
        <w:footnoteRef/>
      </w:r>
      <w:r>
        <w:t xml:space="preserve"> </w:t>
      </w:r>
      <w:r>
        <w:rPr>
          <w:i/>
        </w:rPr>
        <w:t>Id</w:t>
      </w:r>
      <w:r>
        <w:t xml:space="preserve">. </w:t>
      </w:r>
    </w:p>
  </w:footnote>
  <w:footnote w:id="13">
    <w:p w14:paraId="72D84DC7" w14:textId="4E6AF3FF" w:rsidR="003F7F54" w:rsidRPr="00E619B6" w:rsidRDefault="003F7F54">
      <w:pPr>
        <w:pStyle w:val="FootnoteText"/>
      </w:pPr>
      <w:r w:rsidRPr="00E619B6">
        <w:rPr>
          <w:rStyle w:val="FootnoteReference"/>
        </w:rPr>
        <w:footnoteRef/>
      </w:r>
      <w:r w:rsidRPr="00E619B6">
        <w:t xml:space="preserve"> </w:t>
      </w:r>
      <w:r w:rsidR="00341B45" w:rsidRPr="00E619B6">
        <w:rPr>
          <w:i/>
        </w:rPr>
        <w:t>See, e.g.</w:t>
      </w:r>
      <w:r w:rsidR="00341B45" w:rsidRPr="00E619B6">
        <w:t xml:space="preserve">, </w:t>
      </w:r>
      <w:r w:rsidR="00592A5C" w:rsidRPr="00E619B6">
        <w:t xml:space="preserve">Turner, Cory, </w:t>
      </w:r>
      <w:r w:rsidR="004F4EFE" w:rsidRPr="00E619B6">
        <w:t xml:space="preserve">National Public Radio, 'I Am Heartbroken': Your Letters About Public Service Loan Forgiveness (October 18, 2018), </w:t>
      </w:r>
      <w:r w:rsidR="004F4EFE" w:rsidRPr="00E619B6">
        <w:rPr>
          <w:i/>
        </w:rPr>
        <w:t xml:space="preserve">available at </w:t>
      </w:r>
      <w:r w:rsidR="00C0240C" w:rsidRPr="00E619B6">
        <w:t>https://www.npr.org/2018/10/18/658447443/i-am-heartbroken-your-letters-about-public-service-loan-forgiveness;</w:t>
      </w:r>
      <w:r w:rsidR="00592A5C" w:rsidRPr="00E619B6">
        <w:t xml:space="preserve"> Lieber, Ron,</w:t>
      </w:r>
      <w:r w:rsidR="00C0240C" w:rsidRPr="00E619B6">
        <w:t xml:space="preserve"> New York Times, </w:t>
      </w:r>
      <w:r w:rsidR="00592A5C" w:rsidRPr="00E619B6">
        <w:t xml:space="preserve">The Public Student Loan Forgiveness Rescue Hasn’t Gone Well So Far (October 17, 2018), </w:t>
      </w:r>
      <w:r w:rsidR="00C0240C" w:rsidRPr="00E619B6">
        <w:rPr>
          <w:i/>
        </w:rPr>
        <w:t xml:space="preserve">available at </w:t>
      </w:r>
      <w:r w:rsidR="00592A5C" w:rsidRPr="00E619B6">
        <w:t>https://www.nytimes.com/2018/10/17/your-money/public-service-loan-forgiveness.html; Lieber, Rob, New York Times, A Student Loan Nightmare: The Teacher in the Wrong Payment Plan (October 27, 2017)</w:t>
      </w:r>
      <w:r w:rsidR="00592A5C" w:rsidRPr="00E619B6">
        <w:rPr>
          <w:i/>
        </w:rPr>
        <w:t xml:space="preserve"> available at </w:t>
      </w:r>
      <w:r w:rsidR="00592A5C" w:rsidRPr="00E619B6">
        <w:t>https://www.nytimes.com/2017/10/27/your-money/paying-for-college/student-loan-payments.html?module=inline.</w:t>
      </w:r>
    </w:p>
  </w:footnote>
  <w:footnote w:id="14">
    <w:p w14:paraId="351D05E3" w14:textId="56FB6100"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w:t>
      </w:r>
      <w:r w:rsidR="00C0240C" w:rsidRPr="00E619B6">
        <w:rPr>
          <w:rStyle w:val="PageNumber"/>
          <w:rFonts w:eastAsia="Arial Unicode MS" w:cs="Arial Unicode MS"/>
          <w:iCs/>
        </w:rPr>
        <w:t>Student Loan Servicing</w:t>
      </w:r>
      <w:r w:rsidR="003F7F54" w:rsidRPr="00E619B6">
        <w:rPr>
          <w:rStyle w:val="PageNumber"/>
          <w:rFonts w:eastAsia="Arial Unicode MS" w:cs="Arial Unicode MS"/>
          <w:iCs/>
        </w:rPr>
        <w:t>¸</w:t>
      </w:r>
      <w:r w:rsidR="00DF6466">
        <w:rPr>
          <w:rStyle w:val="PageNumber"/>
          <w:rFonts w:eastAsia="Arial Unicode MS" w:cs="Arial Unicode MS"/>
          <w:iCs/>
        </w:rPr>
        <w:t xml:space="preserve"> </w:t>
      </w:r>
      <w:r w:rsidR="003F7F54" w:rsidRPr="00E619B6">
        <w:rPr>
          <w:rStyle w:val="PageNumber"/>
          <w:rFonts w:eastAsia="Arial Unicode MS" w:cs="Arial Unicode MS"/>
          <w:i/>
          <w:iCs/>
        </w:rPr>
        <w:t>supra</w:t>
      </w:r>
      <w:r w:rsidR="003F7F54" w:rsidRPr="00E619B6">
        <w:rPr>
          <w:rStyle w:val="PageNumber"/>
          <w:rFonts w:eastAsia="Arial Unicode MS" w:cs="Arial Unicode MS"/>
          <w:iCs/>
        </w:rPr>
        <w:t xml:space="preserve">, </w:t>
      </w:r>
      <w:r w:rsidRPr="00E619B6">
        <w:rPr>
          <w:rFonts w:eastAsia="Arial Unicode MS" w:cs="Arial Unicode MS"/>
        </w:rPr>
        <w:t>at 64-66.</w:t>
      </w:r>
    </w:p>
  </w:footnote>
  <w:footnote w:id="15">
    <w:p w14:paraId="3577B4B3" w14:textId="680C4E39" w:rsidR="00B7588D" w:rsidRPr="00E619B6" w:rsidRDefault="00E76D25">
      <w:pPr>
        <w:pStyle w:val="FootnoteText"/>
      </w:pPr>
      <w:r w:rsidRPr="00E619B6">
        <w:rPr>
          <w:rStyle w:val="PageNumber"/>
          <w:vertAlign w:val="superscript"/>
        </w:rPr>
        <w:footnoteRef/>
      </w:r>
      <w:r w:rsidR="003F7F54" w:rsidRPr="00E619B6">
        <w:rPr>
          <w:rFonts w:eastAsia="Arial Unicode MS" w:cs="Arial Unicode MS"/>
        </w:rPr>
        <w:t xml:space="preserve"> Student Loan Servicing, </w:t>
      </w:r>
      <w:r w:rsidR="003F7F54" w:rsidRPr="00E619B6">
        <w:rPr>
          <w:rFonts w:eastAsia="Arial Unicode MS" w:cs="Arial Unicode MS"/>
          <w:i/>
        </w:rPr>
        <w:t>supra</w:t>
      </w:r>
      <w:r w:rsidR="003F7F54" w:rsidRPr="00E619B6">
        <w:rPr>
          <w:rFonts w:eastAsia="Arial Unicode MS" w:cs="Arial Unicode MS"/>
        </w:rPr>
        <w:t>,</w:t>
      </w:r>
      <w:r w:rsidRPr="00E619B6">
        <w:rPr>
          <w:rFonts w:eastAsia="Arial Unicode MS" w:cs="Arial Unicode MS"/>
        </w:rPr>
        <w:t xml:space="preserve"> at 69.</w:t>
      </w:r>
    </w:p>
  </w:footnote>
  <w:footnote w:id="16">
    <w:p w14:paraId="23C06001" w14:textId="77777777" w:rsidR="008F3998" w:rsidRPr="00E619B6" w:rsidRDefault="008F3998" w:rsidP="008F3998">
      <w:pPr>
        <w:pStyle w:val="FootnoteText"/>
      </w:pPr>
      <w:r w:rsidRPr="00E619B6">
        <w:rPr>
          <w:rStyle w:val="FootnoteReference"/>
        </w:rPr>
        <w:footnoteRef/>
      </w:r>
      <w:r w:rsidRPr="00E619B6">
        <w:t xml:space="preserve"> Department of Financial Services, Press Release, Governor Cuomo Announces Student Loan Debt Relief Provider Will Cease Operations After Misleading and Improper Practices, </w:t>
      </w:r>
      <w:r w:rsidRPr="00E619B6">
        <w:rPr>
          <w:i/>
        </w:rPr>
        <w:t>available at</w:t>
      </w:r>
      <w:r w:rsidRPr="00E619B6">
        <w:t xml:space="preserve"> http://www.dfs.ny.gov/about/press/pr1507011.htm.</w:t>
      </w:r>
    </w:p>
  </w:footnote>
  <w:footnote w:id="17">
    <w:p w14:paraId="262FDF01" w14:textId="77777777" w:rsidR="008F3998" w:rsidRPr="00E619B6" w:rsidRDefault="008F3998" w:rsidP="008F3998">
      <w:pPr>
        <w:pStyle w:val="FootnoteText"/>
      </w:pPr>
      <w:r w:rsidRPr="00E619B6">
        <w:rPr>
          <w:rStyle w:val="FootnoteReference"/>
        </w:rPr>
        <w:footnoteRef/>
      </w:r>
      <w:r w:rsidRPr="00E619B6">
        <w:t xml:space="preserve"> Consumer Financial Protection Bureau, Press Release, CFPB Halts Student Loan Debt Relief Scam, </w:t>
      </w:r>
      <w:r w:rsidRPr="00E619B6">
        <w:rPr>
          <w:i/>
        </w:rPr>
        <w:t>available at</w:t>
      </w:r>
      <w:r w:rsidRPr="00E619B6">
        <w:t xml:space="preserve"> https://www.consumerfinance.gov/about-us/newsroom/cfpb-halts-student-loan-debt-relief-scam/.</w:t>
      </w:r>
    </w:p>
  </w:footnote>
  <w:footnote w:id="18">
    <w:p w14:paraId="0054936E" w14:textId="77777777" w:rsidR="00202916" w:rsidRPr="00E619B6" w:rsidRDefault="00E76D25" w:rsidP="00202916">
      <w:pPr>
        <w:pStyle w:val="FootnoteText"/>
        <w:rPr>
          <w:rFonts w:eastAsia="Arial Unicode MS" w:cs="Arial Unicode MS"/>
        </w:rPr>
      </w:pPr>
      <w:r w:rsidRPr="00E619B6">
        <w:rPr>
          <w:rStyle w:val="FootnoteReference"/>
        </w:rPr>
        <w:footnoteRef/>
      </w:r>
      <w:r w:rsidRPr="00E619B6">
        <w:rPr>
          <w:rFonts w:eastAsia="Arial Unicode MS" w:cs="Arial Unicode MS"/>
        </w:rPr>
        <w:t xml:space="preserve"> </w:t>
      </w:r>
      <w:r w:rsidR="00202916" w:rsidRPr="00E619B6">
        <w:rPr>
          <w:rFonts w:eastAsia="Arial Unicode MS" w:cs="Arial Unicode MS"/>
        </w:rPr>
        <w:t xml:space="preserve">Judith Scott-Clayton and Jing Li, Black-white disparity in student loan debt more than triples </w:t>
      </w:r>
    </w:p>
    <w:p w14:paraId="47A8A20D" w14:textId="31AC2263" w:rsidR="00202916" w:rsidRPr="00E619B6" w:rsidRDefault="00202916" w:rsidP="00202916">
      <w:pPr>
        <w:pStyle w:val="FootnoteText"/>
        <w:rPr>
          <w:rFonts w:eastAsia="Arial Unicode MS" w:cs="Arial Unicode MS"/>
          <w:i/>
        </w:rPr>
      </w:pPr>
      <w:r w:rsidRPr="00E619B6">
        <w:rPr>
          <w:rFonts w:eastAsia="Arial Unicode MS" w:cs="Arial Unicode MS"/>
        </w:rPr>
        <w:t>after graduation (Oct. 2016), The Brookings Institute,</w:t>
      </w:r>
      <w:r w:rsidRPr="00E619B6">
        <w:rPr>
          <w:rFonts w:eastAsia="Arial Unicode MS" w:cs="Arial Unicode MS"/>
        </w:rPr>
        <w:t xml:space="preserve"> </w:t>
      </w:r>
      <w:r w:rsidRPr="00E619B6">
        <w:rPr>
          <w:rFonts w:eastAsia="Arial Unicode MS" w:cs="Arial Unicode MS"/>
          <w:i/>
        </w:rPr>
        <w:t>available at</w:t>
      </w:r>
    </w:p>
    <w:p w14:paraId="4C5C0BB2" w14:textId="72DC1356" w:rsidR="00B7588D" w:rsidRPr="00E619B6" w:rsidRDefault="00202916">
      <w:pPr>
        <w:pStyle w:val="FootnoteText"/>
        <w:rPr>
          <w:rFonts w:eastAsia="Arial Unicode MS" w:cs="Arial Unicode MS"/>
        </w:rPr>
      </w:pPr>
      <w:r w:rsidRPr="00E619B6">
        <w:rPr>
          <w:rFonts w:eastAsia="Arial Unicode MS" w:cs="Arial Unicode MS"/>
        </w:rPr>
        <w:t>https://www.brookings.edu/research/black-white-disparity-in-student-loan-debt-more-thantriples-after-grad</w:t>
      </w:r>
      <w:r w:rsidR="00346F5D" w:rsidRPr="00E619B6">
        <w:rPr>
          <w:rFonts w:eastAsia="Arial Unicode MS" w:cs="Arial Unicode MS"/>
        </w:rPr>
        <w:t>uation/.</w:t>
      </w:r>
    </w:p>
  </w:footnote>
  <w:footnote w:id="19">
    <w:p w14:paraId="02398F3F" w14:textId="02302420" w:rsidR="00B7588D" w:rsidRPr="00E619B6" w:rsidRDefault="00E76D25">
      <w:pPr>
        <w:pStyle w:val="FootnoteText"/>
      </w:pPr>
      <w:r w:rsidRPr="00E619B6">
        <w:rPr>
          <w:rStyle w:val="FootnoteReference"/>
        </w:rPr>
        <w:footnoteRef/>
      </w:r>
      <w:r w:rsidRPr="00E619B6">
        <w:rPr>
          <w:rFonts w:eastAsia="Arial Unicode MS" w:cs="Arial Unicode MS"/>
        </w:rPr>
        <w:t xml:space="preserve"> </w:t>
      </w:r>
      <w:r w:rsidR="00202916" w:rsidRPr="00E619B6">
        <w:rPr>
          <w:rFonts w:eastAsia="Arial Unicode MS" w:cs="Arial Unicode MS"/>
          <w:i/>
        </w:rPr>
        <w:t>Id.</w:t>
      </w:r>
      <w:r w:rsidR="00202916" w:rsidRPr="00E619B6">
        <w:rPr>
          <w:rFonts w:eastAsia="Arial Unicode MS" w:cs="Arial Unicode MS"/>
        </w:rPr>
        <w:t xml:space="preserve"> </w:t>
      </w:r>
    </w:p>
  </w:footnote>
  <w:footnote w:id="20">
    <w:p w14:paraId="7A831480" w14:textId="77777777" w:rsidR="00202916" w:rsidRPr="00E619B6" w:rsidRDefault="00E76D25" w:rsidP="00202916">
      <w:pPr>
        <w:pStyle w:val="FootnoteText"/>
        <w:rPr>
          <w:rFonts w:eastAsia="Arial Unicode MS" w:cs="Arial Unicode MS"/>
        </w:rPr>
      </w:pPr>
      <w:r w:rsidRPr="00E619B6">
        <w:rPr>
          <w:rStyle w:val="FootnoteReference"/>
        </w:rPr>
        <w:footnoteRef/>
      </w:r>
      <w:r w:rsidRPr="00E619B6">
        <w:rPr>
          <w:rFonts w:eastAsia="Arial Unicode MS" w:cs="Arial Unicode MS"/>
        </w:rPr>
        <w:t xml:space="preserve"> </w:t>
      </w:r>
      <w:r w:rsidR="00202916" w:rsidRPr="00E619B6">
        <w:rPr>
          <w:rFonts w:eastAsia="Arial Unicode MS" w:cs="Arial Unicode MS"/>
        </w:rPr>
        <w:t>Ben Miller, New Federal Data Show a Student Loan Crisis for African American Borrowers,</w:t>
      </w:r>
    </w:p>
    <w:p w14:paraId="753926B8" w14:textId="4AF0A762" w:rsidR="00B7588D" w:rsidRPr="00E619B6" w:rsidRDefault="00202916">
      <w:pPr>
        <w:pStyle w:val="FootnoteText"/>
        <w:rPr>
          <w:rFonts w:eastAsia="Arial Unicode MS" w:cs="Arial Unicode MS"/>
        </w:rPr>
      </w:pPr>
      <w:r w:rsidRPr="00E619B6">
        <w:rPr>
          <w:rFonts w:eastAsia="Arial Unicode MS" w:cs="Arial Unicode MS"/>
        </w:rPr>
        <w:t xml:space="preserve">Center for American Progress (2017), </w:t>
      </w:r>
      <w:r w:rsidRPr="00E619B6">
        <w:rPr>
          <w:rFonts w:eastAsia="Arial Unicode MS" w:cs="Arial Unicode MS"/>
          <w:i/>
        </w:rPr>
        <w:t xml:space="preserve">available </w:t>
      </w:r>
      <w:r w:rsidRPr="00E619B6">
        <w:rPr>
          <w:rFonts w:eastAsia="Arial Unicode MS" w:cs="Arial Unicode MS"/>
        </w:rPr>
        <w:t xml:space="preserve">at </w:t>
      </w:r>
      <w:r w:rsidRPr="00E619B6">
        <w:rPr>
          <w:rFonts w:eastAsia="Arial Unicode MS" w:cs="Arial Unicode MS"/>
        </w:rPr>
        <w:t>https://www.americanprogress.org/issues/educationpostsecondary/news/2017/10/16/440711/new-federal-data-show-student-loan-cri</w:t>
      </w:r>
      <w:r w:rsidRPr="00E619B6">
        <w:rPr>
          <w:rFonts w:eastAsia="Arial Unicode MS" w:cs="Arial Unicode MS"/>
        </w:rPr>
        <w:t>sis-africanamerican-borrowers/.</w:t>
      </w:r>
    </w:p>
  </w:footnote>
  <w:footnote w:id="21">
    <w:p w14:paraId="45E87677" w14:textId="09B4D1E2" w:rsidR="00346F5D" w:rsidRPr="00E619B6" w:rsidRDefault="00346F5D">
      <w:pPr>
        <w:pStyle w:val="FootnoteText"/>
      </w:pPr>
      <w:r w:rsidRPr="00E619B6">
        <w:rPr>
          <w:rStyle w:val="FootnoteReference"/>
        </w:rPr>
        <w:footnoteRef/>
      </w:r>
      <w:r w:rsidRPr="00E619B6">
        <w:t xml:space="preserve"> </w:t>
      </w:r>
      <w:r w:rsidR="00DF646C" w:rsidRPr="00E619B6">
        <w:t xml:space="preserve">Washington Center for Equitable Growth, How the student debt crisis affects African Americans and Latinos, </w:t>
      </w:r>
      <w:r w:rsidR="00DF646C" w:rsidRPr="00E619B6">
        <w:rPr>
          <w:i/>
        </w:rPr>
        <w:t xml:space="preserve">available at </w:t>
      </w:r>
      <w:r w:rsidRPr="00E619B6">
        <w:rPr>
          <w:rFonts w:eastAsia="Arial Unicode MS" w:cs="Arial Unicode MS"/>
        </w:rPr>
        <w:t>https://equitablegrowth.org/how-the-student-debt-crisis-affects-african-americans-and-latinos/</w:t>
      </w:r>
      <w:r w:rsidR="00DF646C" w:rsidRPr="00E619B6">
        <w:rPr>
          <w:rFonts w:eastAsia="Arial Unicode MS" w:cs="Arial Unicode MS"/>
        </w:rPr>
        <w:t>.</w:t>
      </w:r>
    </w:p>
  </w:footnote>
  <w:footnote w:id="22">
    <w:p w14:paraId="0FFCA0E9" w14:textId="168AFD33" w:rsidR="00346F5D" w:rsidRPr="00E619B6" w:rsidRDefault="00346F5D">
      <w:pPr>
        <w:pStyle w:val="FootnoteText"/>
      </w:pPr>
      <w:r w:rsidRPr="00E619B6">
        <w:rPr>
          <w:rStyle w:val="FootnoteReference"/>
        </w:rPr>
        <w:footnoteRef/>
      </w:r>
      <w:r w:rsidRPr="00E619B6">
        <w:t xml:space="preserve"> </w:t>
      </w:r>
      <w:r w:rsidRPr="00E619B6">
        <w:rPr>
          <w:i/>
        </w:rPr>
        <w:t>Id</w:t>
      </w:r>
      <w:r w:rsidRPr="00E619B6">
        <w:t>.</w:t>
      </w:r>
    </w:p>
  </w:footnote>
  <w:footnote w:id="23">
    <w:p w14:paraId="13AD707C" w14:textId="0CEB6CB0" w:rsidR="00B7588D" w:rsidRPr="00E619B6" w:rsidRDefault="00E76D25">
      <w:pPr>
        <w:pStyle w:val="FootnoteText"/>
      </w:pPr>
      <w:r w:rsidRPr="00E619B6">
        <w:rPr>
          <w:rStyle w:val="FootnoteReference"/>
        </w:rPr>
        <w:footnoteRef/>
      </w:r>
      <w:r w:rsidRPr="00E619B6">
        <w:rPr>
          <w:rFonts w:eastAsia="Arial Unicode MS" w:cs="Arial Unicode MS"/>
        </w:rPr>
        <w:t xml:space="preserve"> </w:t>
      </w:r>
      <w:r w:rsidR="00346F5D" w:rsidRPr="00E619B6">
        <w:rPr>
          <w:rFonts w:eastAsia="Arial Unicode MS" w:cs="Arial Unicode MS"/>
          <w:i/>
        </w:rPr>
        <w:t>Id</w:t>
      </w:r>
      <w:r w:rsidR="00346F5D" w:rsidRPr="00E619B6">
        <w:rPr>
          <w:rFonts w:eastAsia="Arial Unicode MS" w:cs="Arial Unicode MS"/>
        </w:rPr>
        <w:t>.</w:t>
      </w:r>
    </w:p>
  </w:footnote>
  <w:footnote w:id="24">
    <w:p w14:paraId="7FC10A47" w14:textId="3E6E7D5F" w:rsidR="00B7588D" w:rsidRPr="00E619B6" w:rsidRDefault="00E76D25">
      <w:pPr>
        <w:pStyle w:val="FootnoteText"/>
      </w:pPr>
      <w:r w:rsidRPr="00E619B6">
        <w:rPr>
          <w:rStyle w:val="FootnoteReference"/>
        </w:rPr>
        <w:footnoteRef/>
      </w:r>
      <w:r w:rsidRPr="00E619B6">
        <w:rPr>
          <w:rFonts w:eastAsia="Arial Unicode MS" w:cs="Arial Unicode MS"/>
        </w:rPr>
        <w:t xml:space="preserve"> </w:t>
      </w:r>
      <w:r w:rsidR="00341B45" w:rsidRPr="00E619B6">
        <w:rPr>
          <w:rFonts w:eastAsia="Arial Unicode MS" w:cs="Arial Unicode MS"/>
        </w:rPr>
        <w:t xml:space="preserve">Mapping Student Debt: How the student debt crisis affects African Americans and Latinos, </w:t>
      </w:r>
      <w:r w:rsidRPr="00E619B6">
        <w:rPr>
          <w:rFonts w:eastAsia="Arial Unicode MS" w:cs="Arial Unicode MS"/>
        </w:rPr>
        <w:t>https://mappi</w:t>
      </w:r>
      <w:r w:rsidR="00341B45" w:rsidRPr="00E619B6">
        <w:rPr>
          <w:rFonts w:eastAsia="Arial Unicode MS" w:cs="Arial Unicode MS"/>
        </w:rPr>
        <w:t>ngstudentdebt.org/#/map-2-race.</w:t>
      </w:r>
    </w:p>
  </w:footnote>
  <w:footnote w:id="25">
    <w:p w14:paraId="4D653969" w14:textId="796E90C9" w:rsidR="00DF42D1" w:rsidRPr="00E619B6" w:rsidRDefault="00DF42D1">
      <w:pPr>
        <w:pStyle w:val="FootnoteText"/>
      </w:pPr>
      <w:r w:rsidRPr="00E619B6">
        <w:rPr>
          <w:rStyle w:val="FootnoteReference"/>
        </w:rPr>
        <w:footnoteRef/>
      </w:r>
      <w:r w:rsidRPr="00E619B6">
        <w:t xml:space="preserve"> </w:t>
      </w:r>
      <w:r w:rsidR="00CE3F03" w:rsidRPr="00E619B6">
        <w:t xml:space="preserve">New York City Department of Consumer Affairs, </w:t>
      </w:r>
      <w:r w:rsidR="00CE3F03" w:rsidRPr="00E619B6">
        <w:t>Student Loan D</w:t>
      </w:r>
      <w:r w:rsidR="00CE3F03" w:rsidRPr="00E619B6">
        <w:t xml:space="preserve">ebt Distress Across NYC Neighborhoods: </w:t>
      </w:r>
      <w:r w:rsidR="00CE3F03" w:rsidRPr="00E619B6">
        <w:t>Identifyin</w:t>
      </w:r>
      <w:r w:rsidR="00CE3F03" w:rsidRPr="00E619B6">
        <w:t xml:space="preserve">g Indicators of Vulnerability; </w:t>
      </w:r>
      <w:r w:rsidR="00202916" w:rsidRPr="00E619B6">
        <w:rPr>
          <w:i/>
        </w:rPr>
        <w:t xml:space="preserve">available at </w:t>
      </w:r>
      <w:r w:rsidR="00202916" w:rsidRPr="00E619B6">
        <w:t>https://www1.nyc.gov/site/dca/media/pr110118-DCA-Report-Examining-Factors-Student-Loan-Distress.page</w:t>
      </w:r>
      <w:r w:rsidR="00CE3F03" w:rsidRPr="00E619B6">
        <w:t>.</w:t>
      </w:r>
    </w:p>
  </w:footnote>
  <w:footnote w:id="26">
    <w:p w14:paraId="6BEC742A" w14:textId="6F494D57" w:rsidR="0054579A" w:rsidRPr="00E619B6" w:rsidRDefault="0054579A" w:rsidP="0054579A">
      <w:pPr>
        <w:pStyle w:val="FootnoteText"/>
      </w:pPr>
      <w:r w:rsidRPr="00E619B6">
        <w:rPr>
          <w:rStyle w:val="FootnoteReference"/>
        </w:rPr>
        <w:footnoteRef/>
      </w:r>
      <w:r w:rsidRPr="00E619B6">
        <w:rPr>
          <w:rFonts w:eastAsia="Arial Unicode MS" w:cs="Arial Unicode MS"/>
        </w:rPr>
        <w:t xml:space="preserve"> </w:t>
      </w:r>
      <w:r w:rsidR="00DF646C" w:rsidRPr="00E619B6">
        <w:t>New York City Department of Consumer Affairs,</w:t>
      </w:r>
      <w:r w:rsidR="00DF646C" w:rsidRPr="00E619B6">
        <w:t xml:space="preserve"> Student Loan Borrowing Across NYC Neighborhoods,</w:t>
      </w:r>
      <w:r w:rsidR="00DF646C" w:rsidRPr="00E619B6">
        <w:t xml:space="preserve"> </w:t>
      </w:r>
      <w:r w:rsidRPr="00E619B6">
        <w:rPr>
          <w:rStyle w:val="PageNumber"/>
          <w:rFonts w:eastAsia="Arial Unicode MS" w:cs="Arial Unicode MS"/>
          <w:i/>
          <w:iCs/>
        </w:rPr>
        <w:t xml:space="preserve">available at </w:t>
      </w:r>
      <w:r w:rsidRPr="00E619B6">
        <w:rPr>
          <w:rFonts w:eastAsia="Arial Unicode MS" w:cs="Arial Unicode MS"/>
        </w:rPr>
        <w:t>https://www1.nyc.gov/site/dca/media/pr121517.page</w:t>
      </w:r>
      <w:r w:rsidR="00DF646C" w:rsidRPr="00E619B6">
        <w:rPr>
          <w:rFonts w:eastAsia="Arial Unicode MS" w:cs="Arial Unicode MS"/>
        </w:rPr>
        <w:t>.</w:t>
      </w:r>
    </w:p>
  </w:footnote>
  <w:footnote w:id="27">
    <w:p w14:paraId="7EBCFE05" w14:textId="16837B55" w:rsidR="00DF42D1" w:rsidRPr="00E619B6" w:rsidRDefault="00DF42D1">
      <w:pPr>
        <w:pStyle w:val="FootnoteText"/>
      </w:pPr>
      <w:r w:rsidRPr="00E619B6">
        <w:rPr>
          <w:rStyle w:val="FootnoteReference"/>
        </w:rPr>
        <w:footnoteRef/>
      </w:r>
      <w:r w:rsidRPr="00E619B6">
        <w:t xml:space="preserve"> </w:t>
      </w:r>
      <w:r w:rsidR="006F45B0" w:rsidRPr="00E619B6">
        <w:rPr>
          <w:i/>
        </w:rPr>
        <w:t>Id</w:t>
      </w:r>
      <w:r w:rsidR="006F45B0" w:rsidRPr="00E619B6">
        <w:t xml:space="preserve"> </w:t>
      </w:r>
      <w:r w:rsidRPr="00E619B6">
        <w:t xml:space="preserve">at </w:t>
      </w:r>
      <w:r w:rsidR="006F45B0" w:rsidRPr="00E619B6">
        <w:t>15.</w:t>
      </w:r>
    </w:p>
  </w:footnote>
  <w:footnote w:id="28">
    <w:p w14:paraId="07C576E8" w14:textId="77777777" w:rsidR="005459BF" w:rsidRPr="00E619B6" w:rsidRDefault="005459BF" w:rsidP="005459BF">
      <w:pPr>
        <w:pStyle w:val="FootnoteText"/>
      </w:pPr>
      <w:r w:rsidRPr="00E619B6">
        <w:rPr>
          <w:rStyle w:val="FootnoteReference"/>
        </w:rPr>
        <w:footnoteRef/>
      </w:r>
      <w:r w:rsidRPr="00E619B6">
        <w:t xml:space="preserve"> United States Government Accountability Office, Report to Congress, Social Security Offsets: Improvements to Program Design Could Better Assist Older Student Loan Borrowers with Obtaining Permitted Relief, 11, December 2016, available at http://www.gao.gov/assets/680/672136.pdf.</w:t>
      </w:r>
    </w:p>
  </w:footnote>
  <w:footnote w:id="29">
    <w:p w14:paraId="3D6F66C4" w14:textId="3FF43692" w:rsidR="005459BF" w:rsidRPr="00E619B6" w:rsidRDefault="005459BF" w:rsidP="005459BF">
      <w:pPr>
        <w:pStyle w:val="FootnoteText"/>
      </w:pPr>
      <w:r w:rsidRPr="00E619B6">
        <w:rPr>
          <w:rStyle w:val="FootnoteReference"/>
        </w:rPr>
        <w:footnoteRef/>
      </w:r>
      <w:r w:rsidRPr="00E619B6">
        <w:rPr>
          <w:rFonts w:eastAsia="Arial Unicode MS" w:cs="Arial Unicode MS"/>
        </w:rPr>
        <w:t xml:space="preserve"> </w:t>
      </w:r>
      <w:r w:rsidR="006F45B0" w:rsidRPr="00E619B6">
        <w:rPr>
          <w:rFonts w:eastAsia="Arial Unicode MS" w:cs="Arial Unicode MS"/>
        </w:rPr>
        <w:t xml:space="preserve">Fishel, Daniel, Politico, Why the AARP is worried about student loans, </w:t>
      </w:r>
      <w:r w:rsidR="006F45B0" w:rsidRPr="00E619B6">
        <w:rPr>
          <w:rFonts w:eastAsia="Arial Unicode MS" w:cs="Arial Unicode MS"/>
          <w:i/>
        </w:rPr>
        <w:t xml:space="preserve">available at </w:t>
      </w:r>
      <w:r w:rsidRPr="00E619B6">
        <w:rPr>
          <w:rStyle w:val="Hyperlink0"/>
          <w:rFonts w:eastAsia="Arial Unicode MS" w:cs="Arial Unicode MS"/>
          <w:color w:val="auto"/>
          <w:u w:val="none"/>
        </w:rPr>
        <w:t>https://www.politico.com/agenda/story/2018/06/07/student-loans-debt-aarp-000666</w:t>
      </w:r>
      <w:r w:rsidR="006F45B0" w:rsidRPr="00E619B6">
        <w:rPr>
          <w:rStyle w:val="Hyperlink0"/>
          <w:rFonts w:eastAsia="Arial Unicode MS" w:cs="Arial Unicode MS"/>
          <w:color w:val="auto"/>
          <w:u w:val="none"/>
        </w:rPr>
        <w:t>.</w:t>
      </w:r>
    </w:p>
  </w:footnote>
  <w:footnote w:id="30">
    <w:p w14:paraId="2BB43FB4"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Danielle Douglas-Gabriel, </w:t>
      </w:r>
      <w:r w:rsidRPr="00E619B6">
        <w:rPr>
          <w:rStyle w:val="PageNumber"/>
          <w:rFonts w:eastAsia="Arial Unicode MS" w:cs="Arial Unicode MS"/>
          <w:i/>
          <w:iCs/>
        </w:rPr>
        <w:t>DeVos Dials Back Consumer Protections for Student Loan Borrowers</w:t>
      </w:r>
      <w:r w:rsidRPr="00E619B6">
        <w:rPr>
          <w:rFonts w:eastAsia="Arial Unicode MS" w:cs="Arial Unicode MS"/>
        </w:rPr>
        <w:t xml:space="preserve">, </w:t>
      </w:r>
      <w:r w:rsidRPr="00E619B6">
        <w:rPr>
          <w:rStyle w:val="PageNumber"/>
          <w:rFonts w:eastAsia="Arial Unicode MS" w:cs="Arial Unicode MS"/>
          <w:smallCaps/>
        </w:rPr>
        <w:t>Washington Post</w:t>
      </w:r>
      <w:r w:rsidRPr="00E619B6">
        <w:rPr>
          <w:rFonts w:eastAsia="Arial Unicode MS" w:cs="Arial Unicode MS"/>
        </w:rPr>
        <w:t xml:space="preserve">, April 11, 2017, </w:t>
      </w:r>
      <w:r w:rsidRPr="00E619B6">
        <w:rPr>
          <w:rStyle w:val="PageNumber"/>
          <w:rFonts w:eastAsia="Arial Unicode MS" w:cs="Arial Unicode MS"/>
          <w:i/>
          <w:iCs/>
        </w:rPr>
        <w:t>available at</w:t>
      </w:r>
      <w:r w:rsidRPr="00E619B6">
        <w:rPr>
          <w:rFonts w:eastAsia="Arial Unicode MS" w:cs="Arial Unicode MS"/>
        </w:rPr>
        <w:t xml:space="preserve"> https://www.washingtonpost.com/news/grade-point/wp/2017/04/11/devos-dials-back-consumer-pr</w:t>
      </w:r>
      <w:r w:rsidRPr="00E619B6">
        <w:rPr>
          <w:rFonts w:eastAsia="Arial Unicode MS" w:cs="Arial Unicode MS"/>
        </w:rPr>
        <w:t>otections-for-student-loan-borrowers/?utm_term=.105f3416385b.</w:t>
      </w:r>
    </w:p>
  </w:footnote>
  <w:footnote w:id="31">
    <w:p w14:paraId="4DD558FF" w14:textId="77777777" w:rsidR="00DF42D1" w:rsidRPr="00E619B6" w:rsidRDefault="00DF42D1" w:rsidP="00DF42D1">
      <w:pPr>
        <w:pStyle w:val="FootnoteText"/>
      </w:pPr>
      <w:r w:rsidRPr="00E619B6">
        <w:rPr>
          <w:rStyle w:val="FootnoteReference"/>
        </w:rPr>
        <w:footnoteRef/>
      </w:r>
      <w:r w:rsidRPr="00E619B6">
        <w:t xml:space="preserve"> U.S. Department of Education, Letter from Betsy DeVos to James W. Runcie, April 11, 2017, </w:t>
      </w:r>
      <w:r w:rsidRPr="00E619B6">
        <w:rPr>
          <w:i/>
        </w:rPr>
        <w:t>available at</w:t>
      </w:r>
      <w:r w:rsidRPr="00E619B6">
        <w:t xml:space="preserve"> https://www2.ed.gov/documents/press-releases/student-loan-servicer-recompete.pdf.</w:t>
      </w:r>
    </w:p>
  </w:footnote>
  <w:footnote w:id="32">
    <w:p w14:paraId="0CC4160B" w14:textId="77777777" w:rsidR="00DF42D1" w:rsidRPr="00E619B6" w:rsidRDefault="00DF42D1" w:rsidP="00DF42D1">
      <w:pPr>
        <w:pStyle w:val="FootnoteText"/>
      </w:pPr>
      <w:r w:rsidRPr="00E619B6">
        <w:rPr>
          <w:rStyle w:val="FootnoteReference"/>
        </w:rPr>
        <w:footnoteRef/>
      </w:r>
      <w:r w:rsidRPr="00E619B6">
        <w:t xml:space="preserve"> U.S. Department of Education, Memorandum from Ted Mitchell to James W. Runcie, July 20, 2016, </w:t>
      </w:r>
      <w:r w:rsidRPr="00E619B6">
        <w:rPr>
          <w:i/>
        </w:rPr>
        <w:t>available at</w:t>
      </w:r>
      <w:r w:rsidRPr="00E619B6">
        <w:t xml:space="preserve"> https://www2.ed.gov/documents/press-releases/loan-servicing-policy-memo.pdf.</w:t>
      </w:r>
    </w:p>
  </w:footnote>
  <w:footnote w:id="33">
    <w:p w14:paraId="598E4A95" w14:textId="77777777" w:rsidR="00DF42D1" w:rsidRPr="00E619B6" w:rsidRDefault="00DF42D1" w:rsidP="00DF42D1">
      <w:pPr>
        <w:pStyle w:val="FootnoteText"/>
      </w:pPr>
      <w:r w:rsidRPr="00E619B6">
        <w:rPr>
          <w:rStyle w:val="FootnoteReference"/>
        </w:rPr>
        <w:footnoteRef/>
      </w:r>
      <w:r w:rsidRPr="00E619B6">
        <w:t xml:space="preserve"> </w:t>
      </w:r>
      <w:r w:rsidRPr="00E619B6">
        <w:rPr>
          <w:i/>
        </w:rPr>
        <w:t>Id</w:t>
      </w:r>
      <w:r w:rsidRPr="00E619B6">
        <w:t>.</w:t>
      </w:r>
    </w:p>
  </w:footnote>
  <w:footnote w:id="34">
    <w:p w14:paraId="42D024E0" w14:textId="77777777" w:rsidR="00DF42D1" w:rsidRPr="00E619B6" w:rsidRDefault="00DF42D1" w:rsidP="00DF42D1">
      <w:pPr>
        <w:pStyle w:val="FootnoteText"/>
      </w:pPr>
      <w:r w:rsidRPr="00E619B6">
        <w:rPr>
          <w:rStyle w:val="FootnoteReference"/>
        </w:rPr>
        <w:footnoteRef/>
      </w:r>
      <w:r w:rsidRPr="00E619B6">
        <w:t xml:space="preserve"> </w:t>
      </w:r>
      <w:r w:rsidRPr="00E619B6">
        <w:rPr>
          <w:i/>
        </w:rPr>
        <w:t>Id</w:t>
      </w:r>
      <w:r w:rsidRPr="00E619B6">
        <w:t>.</w:t>
      </w:r>
    </w:p>
  </w:footnote>
  <w:footnote w:id="35">
    <w:p w14:paraId="46236AAF" w14:textId="77777777" w:rsidR="00DF42D1" w:rsidRPr="00E619B6" w:rsidRDefault="00DF42D1" w:rsidP="00DF42D1">
      <w:pPr>
        <w:pStyle w:val="FootnoteText"/>
      </w:pPr>
      <w:r w:rsidRPr="00E619B6">
        <w:rPr>
          <w:rStyle w:val="FootnoteReference"/>
        </w:rPr>
        <w:footnoteRef/>
      </w:r>
      <w:r w:rsidRPr="00E619B6">
        <w:t xml:space="preserve"> U.S. Department of Education, Letter from John B. King, Jr. to James W. Runcie, June 30, 2016, </w:t>
      </w:r>
      <w:r w:rsidRPr="00E619B6">
        <w:rPr>
          <w:i/>
        </w:rPr>
        <w:t>available at</w:t>
      </w:r>
      <w:r w:rsidRPr="00E619B6">
        <w:t xml:space="preserve"> https://sites.ed.gov/ous/files/2016/06/John-King-servicer-past-performance-memo.pdf.</w:t>
      </w:r>
    </w:p>
  </w:footnote>
  <w:footnote w:id="36">
    <w:p w14:paraId="27DB381C" w14:textId="77777777" w:rsidR="00FC5878" w:rsidRPr="00E619B6" w:rsidRDefault="00FC5878" w:rsidP="00FC58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Times New Roman"/>
          <w:sz w:val="20"/>
          <w:szCs w:val="20"/>
        </w:rPr>
      </w:pPr>
      <w:r w:rsidRPr="00E619B6">
        <w:rPr>
          <w:rStyle w:val="FootnoteReference"/>
          <w:sz w:val="20"/>
          <w:szCs w:val="20"/>
        </w:rPr>
        <w:footnoteRef/>
      </w:r>
      <w:r w:rsidRPr="00E619B6">
        <w:rPr>
          <w:sz w:val="20"/>
          <w:szCs w:val="20"/>
        </w:rPr>
        <w:t xml:space="preserve"> </w:t>
      </w:r>
      <w:r w:rsidRPr="00E619B6">
        <w:rPr>
          <w:rFonts w:cs="Times New Roman"/>
          <w:sz w:val="20"/>
          <w:szCs w:val="20"/>
        </w:rPr>
        <w:t>Letter from Kathleen Smith, Acting Under Secretary, and A. Wayne Johnson,</w:t>
      </w:r>
    </w:p>
    <w:p w14:paraId="20044F68" w14:textId="77777777" w:rsidR="00FC5878" w:rsidRPr="00E619B6" w:rsidRDefault="00FC5878" w:rsidP="00FC58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Times New Roman"/>
          <w:sz w:val="20"/>
          <w:szCs w:val="20"/>
        </w:rPr>
      </w:pPr>
      <w:r w:rsidRPr="00E619B6">
        <w:rPr>
          <w:rFonts w:cs="Times New Roman"/>
          <w:sz w:val="20"/>
          <w:szCs w:val="20"/>
        </w:rPr>
        <w:t>(former) COO of Federal Student Aid to Richard Cordray, Director, Consumer Fin. Prot. Bureau</w:t>
      </w:r>
    </w:p>
    <w:p w14:paraId="60671C53" w14:textId="77777777" w:rsidR="00FC5878" w:rsidRPr="00E619B6" w:rsidRDefault="00FC5878" w:rsidP="00FC5878">
      <w:pPr>
        <w:pStyle w:val="FootnoteText"/>
      </w:pPr>
      <w:r w:rsidRPr="00E619B6">
        <w:t xml:space="preserve">(Aug. 31, 2017), </w:t>
      </w:r>
      <w:r w:rsidRPr="00E619B6">
        <w:rPr>
          <w:i/>
        </w:rPr>
        <w:t xml:space="preserve">available at </w:t>
      </w:r>
      <w:r w:rsidRPr="00E619B6">
        <w:t>https://edworkforce.house.gov/uploadedfiles/2017-0901_signed_letter_to_cfpb.pdf</w:t>
      </w:r>
    </w:p>
  </w:footnote>
  <w:footnote w:id="37">
    <w:p w14:paraId="3CFCA43F" w14:textId="69C4C20E" w:rsidR="00B7588D" w:rsidRPr="00E619B6" w:rsidRDefault="00E76D25" w:rsidP="008839EE">
      <w:pPr>
        <w:pStyle w:val="FootnoteText"/>
      </w:pPr>
      <w:r w:rsidRPr="00E619B6">
        <w:rPr>
          <w:rStyle w:val="FootnoteReference"/>
        </w:rPr>
        <w:footnoteRef/>
      </w:r>
      <w:r w:rsidRPr="00E619B6">
        <w:rPr>
          <w:rFonts w:eastAsia="Arial Unicode MS" w:cs="Arial Unicode MS"/>
        </w:rPr>
        <w:t xml:space="preserve"> </w:t>
      </w:r>
      <w:r w:rsidR="00FC5878" w:rsidRPr="00E619B6">
        <w:rPr>
          <w:rFonts w:eastAsia="Arial Unicode MS" w:cs="Arial Unicode MS"/>
          <w:i/>
        </w:rPr>
        <w:t>Id</w:t>
      </w:r>
      <w:r w:rsidR="00FC5878" w:rsidRPr="00E619B6">
        <w:rPr>
          <w:rFonts w:eastAsia="Arial Unicode MS" w:cs="Arial Unicode MS"/>
        </w:rPr>
        <w:t xml:space="preserve">. </w:t>
      </w:r>
    </w:p>
  </w:footnote>
  <w:footnote w:id="38">
    <w:p w14:paraId="105E26E8" w14:textId="77CEB821" w:rsidR="007A618A" w:rsidRPr="00E619B6" w:rsidRDefault="006959A7" w:rsidP="007A618A">
      <w:pPr>
        <w:pStyle w:val="FootnoteText"/>
        <w:rPr>
          <w:rFonts w:eastAsia="Arial Unicode MS" w:cs="Arial Unicode MS"/>
        </w:rPr>
      </w:pPr>
      <w:r w:rsidRPr="00E619B6">
        <w:rPr>
          <w:rStyle w:val="FootnoteReference"/>
        </w:rPr>
        <w:footnoteRef/>
      </w:r>
      <w:r w:rsidR="00E619B6">
        <w:rPr>
          <w:rFonts w:eastAsia="Arial Unicode MS" w:cs="Arial Unicode MS"/>
        </w:rPr>
        <w:t xml:space="preserve"> </w:t>
      </w:r>
      <w:r w:rsidR="007A618A" w:rsidRPr="00E619B6">
        <w:rPr>
          <w:rFonts w:eastAsia="Arial Unicode MS" w:cs="Arial Unicode MS"/>
        </w:rPr>
        <w:t>Memorandum from Patrick A. Bradfeld, Director, Federal Student Aid Acquisitions, Dep’t of</w:t>
      </w:r>
    </w:p>
    <w:p w14:paraId="51EA0FA8" w14:textId="3FA3F746" w:rsidR="006959A7" w:rsidRPr="00E619B6" w:rsidRDefault="007A618A" w:rsidP="007A61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Times New Roman"/>
          <w:sz w:val="20"/>
          <w:szCs w:val="20"/>
        </w:rPr>
      </w:pPr>
      <w:r w:rsidRPr="00E619B6">
        <w:rPr>
          <w:sz w:val="20"/>
          <w:szCs w:val="20"/>
        </w:rPr>
        <w:t>Educ. (Dec. 17, 2017), Dkt. 19-17, Ex. Q, at 2.</w:t>
      </w:r>
      <w:r w:rsidRPr="00E619B6">
        <w:rPr>
          <w:rFonts w:cs="Times New Roman"/>
          <w:sz w:val="20"/>
          <w:szCs w:val="20"/>
        </w:rPr>
        <w:t xml:space="preserve"> </w:t>
      </w:r>
      <w:r w:rsidR="006959A7" w:rsidRPr="00E619B6">
        <w:rPr>
          <w:rFonts w:cs="Times New Roman"/>
          <w:sz w:val="20"/>
          <w:szCs w:val="20"/>
        </w:rPr>
        <w:t xml:space="preserve">(Aug. 31, 2017), </w:t>
      </w:r>
      <w:r w:rsidR="006959A7" w:rsidRPr="00E619B6">
        <w:rPr>
          <w:rFonts w:cs="Times New Roman"/>
          <w:i/>
          <w:sz w:val="20"/>
          <w:szCs w:val="20"/>
        </w:rPr>
        <w:t xml:space="preserve">available at </w:t>
      </w:r>
      <w:r w:rsidR="006959A7" w:rsidRPr="00E619B6">
        <w:rPr>
          <w:rFonts w:cs="Times New Roman"/>
          <w:sz w:val="20"/>
          <w:szCs w:val="20"/>
        </w:rPr>
        <w:t>https://edworkforce.house.gov/uploadedfiles/2017</w:t>
      </w:r>
      <w:r w:rsidR="006959A7" w:rsidRPr="00E619B6">
        <w:rPr>
          <w:rFonts w:cs="Times New Roman"/>
          <w:sz w:val="20"/>
          <w:szCs w:val="20"/>
        </w:rPr>
        <w:t>-0901_signed_letter_to_cfpb.pdf</w:t>
      </w:r>
    </w:p>
  </w:footnote>
  <w:footnote w:id="39">
    <w:p w14:paraId="4335E625"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w:t>
      </w:r>
      <w:r w:rsidRPr="00E619B6">
        <w:rPr>
          <w:rStyle w:val="PageNumber"/>
          <w:rFonts w:eastAsia="Arial Unicode MS" w:cs="Arial Unicode MS"/>
          <w:i/>
          <w:iCs/>
        </w:rPr>
        <w:t>See</w:t>
      </w:r>
      <w:r w:rsidRPr="00E619B6">
        <w:rPr>
          <w:rFonts w:eastAsia="Arial Unicode MS" w:cs="Arial Unicode MS"/>
        </w:rPr>
        <w:t xml:space="preserve"> Office of State Comptroller, </w:t>
      </w:r>
      <w:r w:rsidRPr="00E619B6">
        <w:rPr>
          <w:rStyle w:val="PageNumber"/>
          <w:rFonts w:eastAsia="Arial Unicode MS" w:cs="Arial Unicode MS"/>
          <w:i/>
          <w:iCs/>
        </w:rPr>
        <w:t>supra</w:t>
      </w:r>
      <w:r w:rsidRPr="00E619B6">
        <w:rPr>
          <w:rFonts w:eastAsia="Arial Unicode MS" w:cs="Arial Unicode MS"/>
        </w:rPr>
        <w:t xml:space="preserve">, at 9.  </w:t>
      </w:r>
    </w:p>
  </w:footnote>
  <w:footnote w:id="40">
    <w:p w14:paraId="05CAEA71"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Letter from New York State Attorney General Eric Schneiderman, et al. to Secretary of Education Betsy DeVos, October</w:t>
      </w:r>
      <w:r w:rsidRPr="00E619B6">
        <w:rPr>
          <w:rFonts w:eastAsia="Arial Unicode MS" w:cs="Arial Unicode MS"/>
        </w:rPr>
        <w:t xml:space="preserve"> 23, 2017, </w:t>
      </w:r>
      <w:r w:rsidRPr="00E619B6">
        <w:rPr>
          <w:rStyle w:val="PageNumber"/>
          <w:rFonts w:eastAsia="Arial Unicode MS" w:cs="Arial Unicode MS"/>
          <w:i/>
          <w:iCs/>
        </w:rPr>
        <w:t>available at</w:t>
      </w:r>
      <w:r w:rsidRPr="00E619B6">
        <w:rPr>
          <w:rFonts w:eastAsia="Arial Unicode MS" w:cs="Arial Unicode MS"/>
        </w:rPr>
        <w:t>: http://www.marylandattorneygeneral.gov/news%20documents/DeVos_10_24_17.pdf.</w:t>
      </w:r>
    </w:p>
  </w:footnote>
  <w:footnote w:id="41">
    <w:p w14:paraId="5490B216"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w:t>
      </w:r>
      <w:r w:rsidRPr="00E619B6">
        <w:rPr>
          <w:rStyle w:val="PageNumber"/>
          <w:rFonts w:eastAsia="Arial Unicode MS" w:cs="Arial Unicode MS"/>
          <w:i/>
          <w:iCs/>
        </w:rPr>
        <w:t>Id</w:t>
      </w:r>
      <w:r w:rsidRPr="00E619B6">
        <w:rPr>
          <w:rFonts w:eastAsia="Arial Unicode MS" w:cs="Arial Unicode MS"/>
        </w:rPr>
        <w:t xml:space="preserve">. </w:t>
      </w:r>
    </w:p>
  </w:footnote>
  <w:footnote w:id="42">
    <w:p w14:paraId="4E0CE94E"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w:t>
      </w:r>
      <w:r w:rsidRPr="00E619B6">
        <w:rPr>
          <w:rStyle w:val="PageNumber"/>
          <w:rFonts w:eastAsia="Arial Unicode MS" w:cs="Arial Unicode MS"/>
          <w:i/>
          <w:iCs/>
        </w:rPr>
        <w:t>Id</w:t>
      </w:r>
      <w:r w:rsidRPr="00E619B6">
        <w:rPr>
          <w:rFonts w:eastAsia="Arial Unicode MS" w:cs="Arial Unicode MS"/>
        </w:rPr>
        <w:t xml:space="preserve">. </w:t>
      </w:r>
    </w:p>
  </w:footnote>
  <w:footnote w:id="43">
    <w:p w14:paraId="605F4414" w14:textId="77777777" w:rsidR="00B7588D" w:rsidRPr="00E619B6" w:rsidRDefault="00E76D25">
      <w:pPr>
        <w:pStyle w:val="FootnoteText"/>
      </w:pPr>
      <w:r w:rsidRPr="00E619B6">
        <w:rPr>
          <w:rStyle w:val="PageNumber"/>
          <w:vertAlign w:val="superscript"/>
        </w:rPr>
        <w:footnoteRef/>
      </w:r>
      <w:r w:rsidRPr="00E619B6">
        <w:rPr>
          <w:rFonts w:eastAsia="Arial Unicode MS" w:cs="Arial Unicode MS"/>
        </w:rPr>
        <w:t xml:space="preserve"> </w:t>
      </w:r>
      <w:r w:rsidRPr="00E619B6">
        <w:rPr>
          <w:rStyle w:val="PageNumber"/>
          <w:rFonts w:eastAsia="Arial Unicode MS" w:cs="Arial Unicode MS"/>
          <w:i/>
          <w:iCs/>
        </w:rPr>
        <w:t>See</w:t>
      </w:r>
      <w:r w:rsidRPr="00E619B6">
        <w:rPr>
          <w:rFonts w:eastAsia="Arial Unicode MS" w:cs="Arial Unicode MS"/>
        </w:rPr>
        <w:t xml:space="preserve">, </w:t>
      </w:r>
      <w:r w:rsidRPr="00E619B6">
        <w:rPr>
          <w:rStyle w:val="PageNumber"/>
          <w:rFonts w:eastAsia="Arial Unicode MS" w:cs="Arial Unicode MS"/>
          <w:i/>
          <w:iCs/>
        </w:rPr>
        <w:t>e.g.</w:t>
      </w:r>
      <w:r w:rsidRPr="00E619B6">
        <w:rPr>
          <w:rFonts w:eastAsia="Arial Unicode MS" w:cs="Arial Unicode MS"/>
        </w:rPr>
        <w:t xml:space="preserve">, Department Contract with SLM Corporation, June 17, 2009, </w:t>
      </w:r>
      <w:r w:rsidRPr="00E619B6">
        <w:rPr>
          <w:rStyle w:val="PageNumber"/>
          <w:rFonts w:eastAsia="Arial Unicode MS" w:cs="Arial Unicode MS"/>
          <w:i/>
          <w:iCs/>
        </w:rPr>
        <w:t>available at</w:t>
      </w:r>
      <w:r w:rsidRPr="00E619B6">
        <w:rPr>
          <w:rFonts w:eastAsia="Arial Unicode MS" w:cs="Arial Unicode MS"/>
        </w:rPr>
        <w:t xml:space="preserve"> https://studentaid.ed.gov/sa/about/data-center/business-in</w:t>
      </w:r>
      <w:r w:rsidRPr="00E619B6">
        <w:rPr>
          <w:rFonts w:eastAsia="Arial Unicode MS" w:cs="Arial Unicode MS"/>
        </w:rPr>
        <w:t xml:space="preserve">fo/contracts/loan-servicing. </w:t>
      </w:r>
    </w:p>
  </w:footnote>
  <w:footnote w:id="44">
    <w:p w14:paraId="766D955B" w14:textId="290F16E6" w:rsidR="00FB5FBD" w:rsidRPr="00E619B6" w:rsidRDefault="00FB5FBD">
      <w:pPr>
        <w:pStyle w:val="FootnoteText"/>
      </w:pPr>
      <w:r w:rsidRPr="00E619B6">
        <w:rPr>
          <w:rStyle w:val="FootnoteReference"/>
        </w:rPr>
        <w:footnoteRef/>
      </w:r>
      <w:r w:rsidRPr="00E619B6">
        <w:t xml:space="preserve"> </w:t>
      </w:r>
      <w:r w:rsidRPr="00E619B6">
        <w:rPr>
          <w:i/>
        </w:rPr>
        <w:t xml:space="preserve">Available at </w:t>
      </w:r>
      <w:r w:rsidRPr="00E619B6">
        <w:t>https://www.federalregister.gov/documents/2018/03/12/2018-04924/federal-preemption-and-state-regulation-of-the-department-of-educations-federal-student-loan</w:t>
      </w:r>
    </w:p>
  </w:footnote>
  <w:footnote w:id="45">
    <w:p w14:paraId="5B11F518" w14:textId="04C51126" w:rsidR="00EA13CB" w:rsidRPr="00E619B6" w:rsidRDefault="00EA13CB">
      <w:pPr>
        <w:pStyle w:val="FootnoteText"/>
      </w:pPr>
      <w:r w:rsidRPr="00E619B6">
        <w:rPr>
          <w:rStyle w:val="FootnoteReference"/>
        </w:rPr>
        <w:footnoteRef/>
      </w:r>
      <w:r w:rsidRPr="00E619B6">
        <w:t xml:space="preserve"> </w:t>
      </w:r>
      <w:r w:rsidRPr="00E619B6">
        <w:rPr>
          <w:i/>
        </w:rPr>
        <w:t>Daniel v Navient Solutions</w:t>
      </w:r>
      <w:r w:rsidR="00E619B6">
        <w:rPr>
          <w:i/>
        </w:rPr>
        <w:t>, LLC</w:t>
      </w:r>
      <w:r w:rsidRPr="00E619B6">
        <w:t xml:space="preserve">, </w:t>
      </w:r>
      <w:r w:rsidR="00E619B6" w:rsidRPr="00E619B6">
        <w:t>No</w:t>
      </w:r>
      <w:r w:rsidR="00E619B6">
        <w:t>.</w:t>
      </w:r>
      <w:r w:rsidR="00E619B6" w:rsidRPr="00E619B6">
        <w:t xml:space="preserve"> 17-</w:t>
      </w:r>
      <w:r w:rsidR="00BD3BB7">
        <w:t>cv-</w:t>
      </w:r>
      <w:r w:rsidR="00E619B6" w:rsidRPr="00E619B6">
        <w:t>2503</w:t>
      </w:r>
      <w:r w:rsidR="00BD3BB7">
        <w:t>, Dkt. No. 62 at 5</w:t>
      </w:r>
      <w:r w:rsidR="00E619B6">
        <w:t xml:space="preserve"> </w:t>
      </w:r>
      <w:r w:rsidR="00BD3BB7">
        <w:t>(M.D. Fla.</w:t>
      </w:r>
      <w:r w:rsidR="00DF6466">
        <w:t xml:space="preserve"> </w:t>
      </w:r>
      <w:r w:rsidR="00BD3BB7">
        <w:t xml:space="preserve">June 25, 2018). </w:t>
      </w:r>
      <w:r w:rsidRPr="00E619B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833E" w14:textId="77777777" w:rsidR="00B7588D" w:rsidRDefault="00B7588D">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28DC" w14:textId="77777777" w:rsidR="00B7588D" w:rsidRDefault="00B7588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44449"/>
    <w:multiLevelType w:val="hybridMultilevel"/>
    <w:tmpl w:val="87F2EF84"/>
    <w:lvl w:ilvl="0" w:tplc="6504A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8D"/>
    <w:rsid w:val="000162D0"/>
    <w:rsid w:val="00035C43"/>
    <w:rsid w:val="000675CE"/>
    <w:rsid w:val="0009150B"/>
    <w:rsid w:val="00094AB5"/>
    <w:rsid w:val="000A2860"/>
    <w:rsid w:val="000F7221"/>
    <w:rsid w:val="00146AC0"/>
    <w:rsid w:val="001D15B1"/>
    <w:rsid w:val="001E11BA"/>
    <w:rsid w:val="00202916"/>
    <w:rsid w:val="00252BDB"/>
    <w:rsid w:val="002E3888"/>
    <w:rsid w:val="003068E9"/>
    <w:rsid w:val="00336B71"/>
    <w:rsid w:val="00341B45"/>
    <w:rsid w:val="00346F5D"/>
    <w:rsid w:val="003F7F54"/>
    <w:rsid w:val="00411E5B"/>
    <w:rsid w:val="004C79B4"/>
    <w:rsid w:val="004F4EFE"/>
    <w:rsid w:val="0054579A"/>
    <w:rsid w:val="005459BF"/>
    <w:rsid w:val="00592A5C"/>
    <w:rsid w:val="00617BB2"/>
    <w:rsid w:val="006959A7"/>
    <w:rsid w:val="006F45B0"/>
    <w:rsid w:val="007267E0"/>
    <w:rsid w:val="007A618A"/>
    <w:rsid w:val="008839EE"/>
    <w:rsid w:val="00885111"/>
    <w:rsid w:val="008F3998"/>
    <w:rsid w:val="00972D47"/>
    <w:rsid w:val="00B36142"/>
    <w:rsid w:val="00B7588D"/>
    <w:rsid w:val="00B94B50"/>
    <w:rsid w:val="00BD3BB7"/>
    <w:rsid w:val="00C0240C"/>
    <w:rsid w:val="00C318AB"/>
    <w:rsid w:val="00CD022C"/>
    <w:rsid w:val="00CE395F"/>
    <w:rsid w:val="00CE3F03"/>
    <w:rsid w:val="00D26A23"/>
    <w:rsid w:val="00D27977"/>
    <w:rsid w:val="00DF42D1"/>
    <w:rsid w:val="00DF6466"/>
    <w:rsid w:val="00DF646C"/>
    <w:rsid w:val="00E619B6"/>
    <w:rsid w:val="00E62C41"/>
    <w:rsid w:val="00E76D25"/>
    <w:rsid w:val="00EA0D6A"/>
    <w:rsid w:val="00EA13CB"/>
    <w:rsid w:val="00F06B46"/>
    <w:rsid w:val="00F80E54"/>
    <w:rsid w:val="00FB5FBD"/>
    <w:rsid w:val="00FC5878"/>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ED4A"/>
  <w15:docId w15:val="{12A1C6E6-9527-4496-8620-F96B1A1D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character" w:styleId="PageNumber">
    <w:name w:val="page number"/>
  </w:style>
  <w:style w:type="paragraph" w:styleId="Title">
    <w:name w:val="Title"/>
    <w:pPr>
      <w:ind w:right="12"/>
      <w:jc w:val="center"/>
    </w:pPr>
    <w:rPr>
      <w:rFonts w:ascii="Verdana" w:hAnsi="Verdana" w:cs="Arial Unicode MS"/>
      <w:color w:val="000000"/>
      <w:sz w:val="40"/>
      <w:szCs w:val="40"/>
      <w:u w:color="000000"/>
    </w:rPr>
  </w:style>
  <w:style w:type="paragraph" w:styleId="BodyText">
    <w:name w:val="Body Text"/>
    <w:pPr>
      <w:jc w:val="center"/>
    </w:pPr>
    <w:rPr>
      <w:rFonts w:ascii="Verdana" w:eastAsia="Verdana" w:hAnsi="Verdana" w:cs="Verdana"/>
      <w:color w:val="000000"/>
      <w:u w:color="000000"/>
    </w:rPr>
  </w:style>
  <w:style w:type="paragraph" w:styleId="FootnoteText">
    <w:name w:val="footnote text"/>
    <w:link w:val="FootnoteTextChar"/>
    <w:rPr>
      <w:rFonts w:eastAsia="Times New Roman"/>
      <w:color w:val="000000"/>
      <w:u w:color="000000"/>
    </w:rPr>
  </w:style>
  <w:style w:type="character" w:customStyle="1" w:styleId="Hyperlink0">
    <w:name w:val="Hyperlink.0"/>
    <w:basedOn w:val="PageNumber"/>
    <w:rPr>
      <w:color w:val="0000FF"/>
      <w:u w:val="single" w:color="0000FF"/>
    </w:rPr>
  </w:style>
  <w:style w:type="paragraph" w:customStyle="1" w:styleId="Default">
    <w:name w:val="Default"/>
    <w:rPr>
      <w:rFonts w:ascii="Helvetica" w:eastAsia="Helvetica" w:hAnsi="Helvetica" w:cs="Helvetica"/>
      <w:color w:val="000000"/>
      <w:sz w:val="22"/>
      <w:szCs w:val="22"/>
    </w:rPr>
  </w:style>
  <w:style w:type="character" w:styleId="FootnoteReference">
    <w:name w:val="footnote reference"/>
    <w:basedOn w:val="PageNumber"/>
    <w:rPr>
      <w:vertAlign w:val="superscript"/>
    </w:rPr>
  </w:style>
  <w:style w:type="character" w:customStyle="1" w:styleId="Hyperlink1">
    <w:name w:val="Hyperlink.1"/>
    <w:basedOn w:val="Hyperlink"/>
    <w:rPr>
      <w:color w:val="0000FF"/>
      <w:u w:val="single" w:color="0000FF"/>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2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BDB"/>
    <w:rPr>
      <w:rFonts w:ascii="Segoe UI" w:hAnsi="Segoe UI" w:cs="Segoe UI"/>
      <w:color w:val="000000"/>
      <w:sz w:val="18"/>
      <w:szCs w:val="18"/>
      <w:u w:color="000000"/>
    </w:rPr>
  </w:style>
  <w:style w:type="paragraph" w:styleId="Header">
    <w:name w:val="header"/>
    <w:basedOn w:val="Normal"/>
    <w:link w:val="HeaderChar"/>
    <w:uiPriority w:val="99"/>
    <w:unhideWhenUsed/>
    <w:rsid w:val="00252BDB"/>
    <w:pPr>
      <w:tabs>
        <w:tab w:val="center" w:pos="4680"/>
        <w:tab w:val="right" w:pos="9360"/>
      </w:tabs>
    </w:pPr>
  </w:style>
  <w:style w:type="character" w:customStyle="1" w:styleId="HeaderChar">
    <w:name w:val="Header Char"/>
    <w:basedOn w:val="DefaultParagraphFont"/>
    <w:link w:val="Header"/>
    <w:uiPriority w:val="99"/>
    <w:rsid w:val="00252BDB"/>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1E11BA"/>
    <w:rPr>
      <w:b/>
      <w:bCs/>
    </w:rPr>
  </w:style>
  <w:style w:type="character" w:customStyle="1" w:styleId="CommentSubjectChar">
    <w:name w:val="Comment Subject Char"/>
    <w:basedOn w:val="CommentTextChar"/>
    <w:link w:val="CommentSubject"/>
    <w:uiPriority w:val="99"/>
    <w:semiHidden/>
    <w:rsid w:val="001E11BA"/>
    <w:rPr>
      <w:rFonts w:cs="Arial Unicode MS"/>
      <w:b/>
      <w:bCs/>
      <w:color w:val="000000"/>
      <w:u w:color="000000"/>
    </w:rPr>
  </w:style>
  <w:style w:type="paragraph" w:styleId="Revision">
    <w:name w:val="Revision"/>
    <w:hidden/>
    <w:uiPriority w:val="99"/>
    <w:semiHidden/>
    <w:rsid w:val="001E11BA"/>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FootnoteTextChar">
    <w:name w:val="Footnote Text Char"/>
    <w:basedOn w:val="DefaultParagraphFont"/>
    <w:link w:val="FootnoteText"/>
    <w:rsid w:val="008F3998"/>
    <w:rPr>
      <w:rFonts w:eastAsia="Times New Roman"/>
      <w:color w:val="000000"/>
      <w:u w:color="000000"/>
    </w:rPr>
  </w:style>
  <w:style w:type="paragraph" w:styleId="ListParagraph">
    <w:name w:val="List Paragraph"/>
    <w:basedOn w:val="Normal"/>
    <w:uiPriority w:val="34"/>
    <w:qFormat/>
    <w:rsid w:val="00B94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Verdana"/>
        <a:ea typeface="Verdana"/>
        <a:cs typeface="Verdan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5F4C4-E2B2-44A9-A225-C83BE530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Denerstein</dc:creator>
  <cp:lastModifiedBy>Evan Denerstein</cp:lastModifiedBy>
  <cp:revision>14</cp:revision>
  <cp:lastPrinted>2018-11-26T16:13:00Z</cp:lastPrinted>
  <dcterms:created xsi:type="dcterms:W3CDTF">2018-11-26T18:24:00Z</dcterms:created>
  <dcterms:modified xsi:type="dcterms:W3CDTF">2018-11-26T20:22:00Z</dcterms:modified>
</cp:coreProperties>
</file>