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B6B" w:rsidRDefault="00966B6B">
      <w:pPr>
        <w:rPr>
          <w:rFonts w:ascii="Eras Demi ITC" w:hAnsi="Eras Demi ITC"/>
          <w:sz w:val="56"/>
          <w:szCs w:val="56"/>
        </w:rPr>
      </w:pPr>
      <w:r>
        <w:rPr>
          <w:noProof/>
        </w:rPr>
        <w:drawing>
          <wp:anchor distT="0" distB="0" distL="114300" distR="114300" simplePos="0" relativeHeight="251658240" behindDoc="0" locked="0" layoutInCell="1" allowOverlap="1" wp14:anchorId="7601C256" wp14:editId="3C89470B">
            <wp:simplePos x="0" y="0"/>
            <wp:positionH relativeFrom="margin">
              <wp:align>left</wp:align>
            </wp:positionH>
            <wp:positionV relativeFrom="paragraph">
              <wp:posOffset>74930</wp:posOffset>
            </wp:positionV>
            <wp:extent cx="2154803" cy="1606163"/>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witter logo smaller.jpg"/>
                    <pic:cNvPicPr/>
                  </pic:nvPicPr>
                  <pic:blipFill>
                    <a:blip r:embed="rId4">
                      <a:extLst>
                        <a:ext uri="{28A0092B-C50C-407E-A947-70E740481C1C}">
                          <a14:useLocalDpi xmlns:a14="http://schemas.microsoft.com/office/drawing/2010/main" val="0"/>
                        </a:ext>
                      </a:extLst>
                    </a:blip>
                    <a:stretch>
                      <a:fillRect/>
                    </a:stretch>
                  </pic:blipFill>
                  <pic:spPr>
                    <a:xfrm>
                      <a:off x="0" y="0"/>
                      <a:ext cx="2154803" cy="1606163"/>
                    </a:xfrm>
                    <a:prstGeom prst="rect">
                      <a:avLst/>
                    </a:prstGeom>
                  </pic:spPr>
                </pic:pic>
              </a:graphicData>
            </a:graphic>
            <wp14:sizeRelH relativeFrom="page">
              <wp14:pctWidth>0</wp14:pctWidth>
            </wp14:sizeRelH>
            <wp14:sizeRelV relativeFrom="page">
              <wp14:pctHeight>0</wp14:pctHeight>
            </wp14:sizeRelV>
          </wp:anchor>
        </w:drawing>
      </w:r>
    </w:p>
    <w:p w:rsidR="00966B6B" w:rsidRPr="00966B6B" w:rsidRDefault="00966B6B" w:rsidP="00966B6B">
      <w:pPr>
        <w:jc w:val="center"/>
        <w:rPr>
          <w:rFonts w:ascii="Eras Demi ITC" w:hAnsi="Eras Demi ITC"/>
          <w:color w:val="C00000"/>
          <w:sz w:val="14"/>
          <w:szCs w:val="72"/>
        </w:rPr>
      </w:pPr>
    </w:p>
    <w:p w:rsidR="00984209" w:rsidRPr="004738E1" w:rsidRDefault="00966B6B" w:rsidP="00966B6B">
      <w:pPr>
        <w:jc w:val="center"/>
        <w:rPr>
          <w:rFonts w:ascii="Eras Demi ITC" w:hAnsi="Eras Demi ITC"/>
          <w:color w:val="C00000"/>
          <w:sz w:val="72"/>
          <w:szCs w:val="72"/>
        </w:rPr>
      </w:pPr>
      <w:r w:rsidRPr="004738E1">
        <w:rPr>
          <w:rFonts w:ascii="Eras Demi ITC" w:hAnsi="Eras Demi ITC"/>
          <w:color w:val="C00000"/>
          <w:sz w:val="72"/>
          <w:szCs w:val="72"/>
        </w:rPr>
        <w:t>Update</w:t>
      </w:r>
    </w:p>
    <w:p w:rsidR="00966B6B" w:rsidRPr="00CD2F46" w:rsidRDefault="00966B6B" w:rsidP="00966B6B">
      <w:pPr>
        <w:jc w:val="center"/>
        <w:rPr>
          <w:rFonts w:ascii="Eras Demi ITC" w:hAnsi="Eras Demi ITC"/>
          <w:color w:val="C00000"/>
          <w:sz w:val="36"/>
          <w:szCs w:val="72"/>
        </w:rPr>
      </w:pPr>
      <w:r w:rsidRPr="00CD2F46">
        <w:rPr>
          <w:rFonts w:ascii="Eras Demi ITC" w:hAnsi="Eras Demi ITC"/>
          <w:color w:val="C00000"/>
          <w:sz w:val="36"/>
          <w:szCs w:val="72"/>
        </w:rPr>
        <w:t>October 2014</w:t>
      </w:r>
    </w:p>
    <w:p w:rsidR="00966B6B" w:rsidRDefault="00966B6B" w:rsidP="00966B6B">
      <w:pPr>
        <w:jc w:val="center"/>
        <w:rPr>
          <w:rFonts w:ascii="Eras Demi ITC" w:hAnsi="Eras Demi ITC"/>
          <w:color w:val="C00000"/>
          <w:sz w:val="44"/>
          <w:szCs w:val="72"/>
        </w:rPr>
      </w:pPr>
    </w:p>
    <w:p w:rsidR="00966B6B" w:rsidRDefault="00966B6B" w:rsidP="00966B6B">
      <w:pPr>
        <w:jc w:val="center"/>
        <w:rPr>
          <w:rFonts w:ascii="Eras Demi ITC" w:hAnsi="Eras Demi ITC"/>
          <w:color w:val="C00000"/>
          <w:sz w:val="44"/>
          <w:szCs w:val="72"/>
        </w:rPr>
      </w:pPr>
    </w:p>
    <w:p w:rsidR="00966B6B" w:rsidRDefault="00966B6B" w:rsidP="00966B6B">
      <w:pPr>
        <w:rPr>
          <w:rFonts w:ascii="Eras Demi ITC" w:hAnsi="Eras Demi ITC"/>
          <w:color w:val="C00000"/>
          <w:sz w:val="32"/>
          <w:szCs w:val="72"/>
        </w:rPr>
      </w:pPr>
      <w:r>
        <w:rPr>
          <w:rFonts w:ascii="Eras Demi ITC" w:hAnsi="Eras Demi ITC"/>
          <w:color w:val="C00000"/>
          <w:sz w:val="32"/>
          <w:szCs w:val="72"/>
        </w:rPr>
        <w:t>Recent Successes . . .</w:t>
      </w:r>
    </w:p>
    <w:p w:rsidR="00966B6B" w:rsidRPr="008D4D12" w:rsidRDefault="00966B6B" w:rsidP="00966B6B">
      <w:pPr>
        <w:rPr>
          <w:rFonts w:ascii="Arial" w:hAnsi="Arial" w:cs="Arial"/>
          <w:color w:val="C00000"/>
          <w:sz w:val="12"/>
          <w:szCs w:val="22"/>
        </w:rPr>
      </w:pPr>
    </w:p>
    <w:p w:rsidR="00966B6B" w:rsidRDefault="00966B6B" w:rsidP="00966B6B">
      <w:pPr>
        <w:rPr>
          <w:rFonts w:ascii="Arial" w:hAnsi="Arial" w:cs="Arial"/>
          <w:color w:val="000000" w:themeColor="text1"/>
          <w:sz w:val="20"/>
          <w:szCs w:val="22"/>
        </w:rPr>
      </w:pPr>
      <w:r w:rsidRPr="001C09AE">
        <w:rPr>
          <w:rFonts w:ascii="Arial" w:hAnsi="Arial" w:cs="Arial"/>
          <w:color w:val="000000" w:themeColor="text1"/>
          <w:sz w:val="20"/>
          <w:szCs w:val="22"/>
        </w:rPr>
        <w:t xml:space="preserve">MFY’s </w:t>
      </w:r>
      <w:r w:rsidRPr="001C09AE">
        <w:rPr>
          <w:rFonts w:ascii="Arial" w:hAnsi="Arial" w:cs="Arial"/>
          <w:b/>
          <w:color w:val="000000" w:themeColor="text1"/>
          <w:sz w:val="20"/>
          <w:szCs w:val="22"/>
        </w:rPr>
        <w:t>Workplace Justice Project</w:t>
      </w:r>
      <w:r w:rsidRPr="001C09AE">
        <w:rPr>
          <w:rFonts w:ascii="Arial" w:hAnsi="Arial" w:cs="Arial"/>
          <w:color w:val="000000" w:themeColor="text1"/>
          <w:sz w:val="20"/>
          <w:szCs w:val="22"/>
        </w:rPr>
        <w:t xml:space="preserve"> negotiated a $200,000 confidential settlement for two immigrant factory workers who suffered years of sexual and racial harassment and were then fired.  </w:t>
      </w:r>
    </w:p>
    <w:p w:rsidR="00DC0EFD" w:rsidRPr="001C09AE" w:rsidRDefault="00DC0EFD" w:rsidP="00966B6B">
      <w:pPr>
        <w:rPr>
          <w:rFonts w:ascii="Arial" w:hAnsi="Arial" w:cs="Arial"/>
          <w:color w:val="000000" w:themeColor="text1"/>
          <w:sz w:val="20"/>
          <w:szCs w:val="22"/>
        </w:rPr>
      </w:pPr>
    </w:p>
    <w:p w:rsidR="00966B6B" w:rsidRDefault="00966B6B" w:rsidP="00966B6B">
      <w:pPr>
        <w:rPr>
          <w:rFonts w:ascii="Arial" w:hAnsi="Arial" w:cs="Arial"/>
          <w:color w:val="000000" w:themeColor="text1"/>
          <w:sz w:val="20"/>
          <w:szCs w:val="22"/>
        </w:rPr>
      </w:pPr>
      <w:r w:rsidRPr="001C09AE">
        <w:rPr>
          <w:rFonts w:ascii="Arial" w:hAnsi="Arial" w:cs="Arial"/>
          <w:color w:val="000000" w:themeColor="text1"/>
          <w:sz w:val="20"/>
          <w:szCs w:val="22"/>
        </w:rPr>
        <w:t xml:space="preserve">MFY’s </w:t>
      </w:r>
      <w:r w:rsidRPr="001C09AE">
        <w:rPr>
          <w:rFonts w:ascii="Arial" w:hAnsi="Arial" w:cs="Arial"/>
          <w:b/>
          <w:color w:val="000000" w:themeColor="text1"/>
          <w:sz w:val="20"/>
          <w:szCs w:val="22"/>
        </w:rPr>
        <w:t>Kinship Caregiver Law Project</w:t>
      </w:r>
      <w:r w:rsidRPr="001C09AE">
        <w:rPr>
          <w:rFonts w:ascii="Arial" w:hAnsi="Arial" w:cs="Arial"/>
          <w:color w:val="000000" w:themeColor="text1"/>
          <w:sz w:val="20"/>
          <w:szCs w:val="22"/>
        </w:rPr>
        <w:t xml:space="preserve"> scored its first victory in </w:t>
      </w:r>
      <w:r w:rsidR="001C09AE" w:rsidRPr="001C09AE">
        <w:rPr>
          <w:rFonts w:ascii="Arial" w:hAnsi="Arial" w:cs="Arial"/>
          <w:color w:val="000000" w:themeColor="text1"/>
          <w:sz w:val="20"/>
          <w:szCs w:val="22"/>
        </w:rPr>
        <w:t>an adoption subsidy fraud case on behalf of an adult sibling of three teens, ages 15, 16, 17. Although the three teens were no longer in the care of their adoptive mother, and the older sibling had secured legal guardianship, the adoptive mother was still receiving $2200/month for their care. Now the older sibling will receive $2,000 a month from the adoptive mother in child support.</w:t>
      </w:r>
    </w:p>
    <w:p w:rsidR="00DC0EFD" w:rsidRDefault="00DC0EFD" w:rsidP="00966B6B">
      <w:pPr>
        <w:rPr>
          <w:rFonts w:ascii="Arial" w:hAnsi="Arial" w:cs="Arial"/>
          <w:color w:val="000000" w:themeColor="text1"/>
          <w:sz w:val="20"/>
          <w:szCs w:val="22"/>
        </w:rPr>
      </w:pPr>
    </w:p>
    <w:p w:rsidR="00DC0EFD" w:rsidRDefault="00DC0EFD" w:rsidP="00DC0EFD">
      <w:pPr>
        <w:rPr>
          <w:rFonts w:ascii="Eras Demi ITC" w:hAnsi="Eras Demi ITC"/>
          <w:color w:val="C00000"/>
          <w:sz w:val="32"/>
          <w:szCs w:val="72"/>
        </w:rPr>
      </w:pPr>
      <w:r>
        <w:rPr>
          <w:rFonts w:ascii="Eras Demi ITC" w:hAnsi="Eras Demi ITC"/>
          <w:color w:val="C00000"/>
          <w:sz w:val="32"/>
          <w:szCs w:val="72"/>
        </w:rPr>
        <w:t>Tenant Advocacy . . .</w:t>
      </w:r>
    </w:p>
    <w:p w:rsidR="00DC0EFD" w:rsidRDefault="00DC0EFD" w:rsidP="00966B6B">
      <w:pPr>
        <w:rPr>
          <w:rFonts w:ascii="Arial" w:hAnsi="Arial" w:cs="Arial"/>
          <w:color w:val="000000" w:themeColor="text1"/>
          <w:sz w:val="20"/>
          <w:szCs w:val="22"/>
        </w:rPr>
      </w:pPr>
      <w:r>
        <w:rPr>
          <w:rFonts w:ascii="Arial" w:hAnsi="Arial" w:cs="Arial"/>
          <w:color w:val="000000" w:themeColor="text1"/>
          <w:sz w:val="20"/>
          <w:szCs w:val="22"/>
        </w:rPr>
        <w:t xml:space="preserve">MFY urged the City Council to adopt Intro. 289, enabling HPD to provide </w:t>
      </w:r>
      <w:hyperlink r:id="rId5" w:history="1">
        <w:r w:rsidRPr="00554E6A">
          <w:rPr>
            <w:rStyle w:val="Hyperlink"/>
            <w:rFonts w:ascii="Arial" w:hAnsi="Arial" w:cs="Arial"/>
            <w:sz w:val="20"/>
            <w:szCs w:val="22"/>
          </w:rPr>
          <w:t>housing applications in multiple languages</w:t>
        </w:r>
      </w:hyperlink>
      <w:r w:rsidR="00554E6A">
        <w:rPr>
          <w:rFonts w:ascii="Arial" w:hAnsi="Arial" w:cs="Arial"/>
          <w:color w:val="000000" w:themeColor="text1"/>
          <w:sz w:val="20"/>
          <w:szCs w:val="22"/>
        </w:rPr>
        <w:t xml:space="preserve">. </w:t>
      </w:r>
    </w:p>
    <w:p w:rsidR="001C09AE" w:rsidRPr="001C09AE" w:rsidRDefault="001C09AE" w:rsidP="00966B6B">
      <w:pPr>
        <w:rPr>
          <w:rFonts w:ascii="Arial" w:hAnsi="Arial" w:cs="Arial"/>
          <w:color w:val="000000" w:themeColor="text1"/>
          <w:sz w:val="20"/>
          <w:szCs w:val="22"/>
        </w:rPr>
      </w:pPr>
    </w:p>
    <w:p w:rsidR="001C09AE" w:rsidRDefault="001C09AE" w:rsidP="001C09AE">
      <w:pPr>
        <w:rPr>
          <w:rFonts w:ascii="Eras Demi ITC" w:hAnsi="Eras Demi ITC"/>
          <w:color w:val="C00000"/>
          <w:sz w:val="32"/>
          <w:szCs w:val="72"/>
        </w:rPr>
      </w:pPr>
      <w:r>
        <w:rPr>
          <w:rFonts w:ascii="Eras Demi ITC" w:hAnsi="Eras Demi ITC"/>
          <w:color w:val="C00000"/>
          <w:sz w:val="32"/>
          <w:szCs w:val="72"/>
        </w:rPr>
        <w:t>A Client’s Perspective . . .</w:t>
      </w:r>
    </w:p>
    <w:p w:rsidR="001C09AE" w:rsidRPr="008D4D12" w:rsidRDefault="001C09AE" w:rsidP="00966B6B">
      <w:pPr>
        <w:rPr>
          <w:rFonts w:ascii="Arial" w:hAnsi="Arial" w:cs="Arial"/>
          <w:color w:val="000000" w:themeColor="text1"/>
          <w:sz w:val="10"/>
          <w:szCs w:val="22"/>
        </w:rPr>
      </w:pPr>
    </w:p>
    <w:p w:rsidR="001C09AE" w:rsidRPr="00081D25" w:rsidRDefault="001C09AE" w:rsidP="00966B6B">
      <w:pPr>
        <w:rPr>
          <w:rFonts w:ascii="Arial" w:hAnsi="Arial" w:cs="Arial"/>
          <w:i/>
          <w:color w:val="000000" w:themeColor="text1"/>
          <w:sz w:val="20"/>
          <w:szCs w:val="22"/>
        </w:rPr>
      </w:pPr>
      <w:r w:rsidRPr="001C09AE">
        <w:rPr>
          <w:rFonts w:ascii="Arial" w:hAnsi="Arial" w:cs="Arial"/>
          <w:color w:val="000000" w:themeColor="text1"/>
          <w:sz w:val="20"/>
          <w:szCs w:val="22"/>
        </w:rPr>
        <w:t xml:space="preserve">After MFY’s </w:t>
      </w:r>
      <w:r w:rsidRPr="001C09AE">
        <w:rPr>
          <w:rFonts w:ascii="Arial" w:hAnsi="Arial" w:cs="Arial"/>
          <w:b/>
          <w:color w:val="000000" w:themeColor="text1"/>
          <w:sz w:val="20"/>
          <w:szCs w:val="22"/>
        </w:rPr>
        <w:t>Mental Health Law Project</w:t>
      </w:r>
      <w:r w:rsidRPr="001C09AE">
        <w:rPr>
          <w:rFonts w:ascii="Arial" w:hAnsi="Arial" w:cs="Arial"/>
          <w:color w:val="000000" w:themeColor="text1"/>
          <w:sz w:val="20"/>
          <w:szCs w:val="22"/>
        </w:rPr>
        <w:t xml:space="preserve"> saved the 20-year tenancy of a client at the last moment, the client wrote to his attorney:  </w:t>
      </w:r>
      <w:r w:rsidRPr="00081D25">
        <w:rPr>
          <w:rFonts w:ascii="Arial" w:hAnsi="Arial" w:cs="Arial"/>
          <w:i/>
          <w:color w:val="000000" w:themeColor="text1"/>
          <w:sz w:val="20"/>
          <w:szCs w:val="22"/>
        </w:rPr>
        <w:t xml:space="preserve">“. . . May I say that my gratitude will long remain as I reflect occasionally on how I came so close to losing the place I’ve called home for 20 years. . </w:t>
      </w:r>
      <w:proofErr w:type="gramStart"/>
      <w:r w:rsidRPr="00081D25">
        <w:rPr>
          <w:rFonts w:ascii="Arial" w:hAnsi="Arial" w:cs="Arial"/>
          <w:i/>
          <w:color w:val="000000" w:themeColor="text1"/>
          <w:sz w:val="20"/>
          <w:szCs w:val="22"/>
        </w:rPr>
        <w:t>.</w:t>
      </w:r>
      <w:proofErr w:type="gramEnd"/>
      <w:r w:rsidRPr="00081D25">
        <w:rPr>
          <w:rFonts w:ascii="Arial" w:hAnsi="Arial" w:cs="Arial"/>
          <w:i/>
          <w:color w:val="000000" w:themeColor="text1"/>
          <w:sz w:val="20"/>
          <w:szCs w:val="22"/>
        </w:rPr>
        <w:t xml:space="preserve"> As I share my experience with colleagues and friends … and express to them what I witnessed </w:t>
      </w:r>
      <w:proofErr w:type="spellStart"/>
      <w:r w:rsidRPr="00081D25">
        <w:rPr>
          <w:rFonts w:ascii="Arial" w:hAnsi="Arial" w:cs="Arial"/>
          <w:i/>
          <w:color w:val="000000" w:themeColor="text1"/>
          <w:sz w:val="20"/>
          <w:szCs w:val="22"/>
        </w:rPr>
        <w:t>first hand</w:t>
      </w:r>
      <w:proofErr w:type="spellEnd"/>
      <w:r w:rsidRPr="00081D25">
        <w:rPr>
          <w:rFonts w:ascii="Arial" w:hAnsi="Arial" w:cs="Arial"/>
          <w:i/>
          <w:color w:val="000000" w:themeColor="text1"/>
          <w:sz w:val="20"/>
          <w:szCs w:val="22"/>
        </w:rPr>
        <w:t xml:space="preserve"> at MFY, how you work at your profession with such a sense of immediacy and precision, together with a sense of solidary and compassion – everyone agrees that I have crossed paths with a truly unique individual.”</w:t>
      </w:r>
    </w:p>
    <w:p w:rsidR="001C09AE" w:rsidRDefault="001C09AE" w:rsidP="00966B6B">
      <w:pPr>
        <w:rPr>
          <w:rFonts w:ascii="Arial" w:hAnsi="Arial" w:cs="Arial"/>
          <w:color w:val="000000" w:themeColor="text1"/>
          <w:sz w:val="20"/>
          <w:szCs w:val="22"/>
        </w:rPr>
      </w:pPr>
    </w:p>
    <w:p w:rsidR="001C09AE" w:rsidRDefault="001C09AE" w:rsidP="001C09AE">
      <w:pPr>
        <w:rPr>
          <w:rFonts w:ascii="Eras Demi ITC" w:hAnsi="Eras Demi ITC"/>
          <w:color w:val="C00000"/>
          <w:sz w:val="32"/>
          <w:szCs w:val="72"/>
        </w:rPr>
      </w:pPr>
      <w:r>
        <w:rPr>
          <w:rFonts w:ascii="Eras Demi ITC" w:hAnsi="Eras Demi ITC"/>
          <w:color w:val="C00000"/>
          <w:sz w:val="32"/>
          <w:szCs w:val="72"/>
        </w:rPr>
        <w:t>MFY in the News . . .</w:t>
      </w:r>
    </w:p>
    <w:p w:rsidR="001C09AE" w:rsidRPr="008D4D12" w:rsidRDefault="001C09AE" w:rsidP="001C09AE">
      <w:pPr>
        <w:rPr>
          <w:rFonts w:ascii="Arial" w:hAnsi="Arial" w:cs="Arial"/>
          <w:color w:val="C00000"/>
          <w:sz w:val="10"/>
          <w:szCs w:val="20"/>
        </w:rPr>
      </w:pPr>
    </w:p>
    <w:p w:rsidR="008D4D12" w:rsidRDefault="008D4D12" w:rsidP="00966B6B">
      <w:pPr>
        <w:rPr>
          <w:rFonts w:ascii="Arial" w:hAnsi="Arial" w:cs="Arial"/>
          <w:color w:val="000000" w:themeColor="text1"/>
          <w:sz w:val="20"/>
          <w:szCs w:val="22"/>
        </w:rPr>
      </w:pPr>
      <w:r>
        <w:rPr>
          <w:rFonts w:ascii="Arial" w:hAnsi="Arial" w:cs="Arial"/>
          <w:color w:val="000000" w:themeColor="text1"/>
          <w:sz w:val="20"/>
          <w:szCs w:val="22"/>
        </w:rPr>
        <w:t xml:space="preserve">The </w:t>
      </w:r>
      <w:hyperlink r:id="rId6" w:history="1">
        <w:r w:rsidRPr="00554E6A">
          <w:rPr>
            <w:rStyle w:val="Hyperlink"/>
            <w:rFonts w:ascii="Arial" w:hAnsi="Arial" w:cs="Arial"/>
            <w:sz w:val="20"/>
            <w:szCs w:val="22"/>
          </w:rPr>
          <w:t xml:space="preserve">October 29 </w:t>
        </w:r>
        <w:r w:rsidRPr="00554E6A">
          <w:rPr>
            <w:rStyle w:val="Hyperlink"/>
            <w:rFonts w:ascii="Arial" w:hAnsi="Arial" w:cs="Arial"/>
            <w:b/>
            <w:sz w:val="20"/>
            <w:szCs w:val="22"/>
          </w:rPr>
          <w:t>New York Law Journal</w:t>
        </w:r>
      </w:hyperlink>
      <w:r>
        <w:rPr>
          <w:rFonts w:ascii="Arial" w:hAnsi="Arial" w:cs="Arial"/>
          <w:color w:val="000000" w:themeColor="text1"/>
          <w:sz w:val="20"/>
          <w:szCs w:val="22"/>
        </w:rPr>
        <w:t xml:space="preserve"> quoted MFY attorneys speaking out on the consequences for clients when no interpretation is available</w:t>
      </w:r>
      <w:r w:rsidR="00081D25">
        <w:rPr>
          <w:rFonts w:ascii="Arial" w:hAnsi="Arial" w:cs="Arial"/>
          <w:color w:val="000000" w:themeColor="text1"/>
          <w:sz w:val="20"/>
          <w:szCs w:val="22"/>
        </w:rPr>
        <w:t xml:space="preserve"> in court</w:t>
      </w:r>
      <w:r w:rsidR="00554E6A">
        <w:rPr>
          <w:rFonts w:ascii="Arial" w:hAnsi="Arial" w:cs="Arial"/>
          <w:color w:val="000000" w:themeColor="text1"/>
          <w:sz w:val="20"/>
          <w:szCs w:val="22"/>
        </w:rPr>
        <w:t>.</w:t>
      </w:r>
      <w:r>
        <w:rPr>
          <w:rFonts w:ascii="Arial" w:hAnsi="Arial" w:cs="Arial"/>
          <w:color w:val="000000" w:themeColor="text1"/>
          <w:sz w:val="20"/>
          <w:szCs w:val="22"/>
        </w:rPr>
        <w:t xml:space="preserve"> </w:t>
      </w:r>
    </w:p>
    <w:p w:rsidR="00554E6A" w:rsidRDefault="00554E6A" w:rsidP="00966B6B">
      <w:pPr>
        <w:rPr>
          <w:rFonts w:ascii="Arial" w:hAnsi="Arial" w:cs="Arial"/>
          <w:color w:val="000000" w:themeColor="text1"/>
          <w:sz w:val="20"/>
          <w:szCs w:val="22"/>
        </w:rPr>
      </w:pPr>
    </w:p>
    <w:p w:rsidR="008D4D12" w:rsidRPr="007F49B1" w:rsidRDefault="008D4D12" w:rsidP="008D4D12">
      <w:pPr>
        <w:rPr>
          <w:rFonts w:ascii="Arial" w:hAnsi="Arial" w:cs="Arial"/>
          <w:sz w:val="20"/>
          <w:szCs w:val="20"/>
        </w:rPr>
      </w:pPr>
      <w:r w:rsidRPr="007F49B1">
        <w:rPr>
          <w:rFonts w:ascii="Arial" w:hAnsi="Arial" w:cs="Arial"/>
          <w:sz w:val="20"/>
          <w:szCs w:val="20"/>
        </w:rPr>
        <w:t xml:space="preserve">On October 27, </w:t>
      </w:r>
      <w:r w:rsidRPr="007F49B1">
        <w:rPr>
          <w:rFonts w:ascii="Arial" w:hAnsi="Arial" w:cs="Arial"/>
          <w:b/>
          <w:sz w:val="20"/>
          <w:szCs w:val="20"/>
        </w:rPr>
        <w:t>Al Jazeera America</w:t>
      </w:r>
      <w:r w:rsidRPr="007F49B1">
        <w:rPr>
          <w:rFonts w:ascii="Arial" w:hAnsi="Arial" w:cs="Arial"/>
          <w:sz w:val="20"/>
          <w:szCs w:val="20"/>
        </w:rPr>
        <w:t xml:space="preserve"> reported on </w:t>
      </w:r>
      <w:hyperlink r:id="rId7" w:history="1">
        <w:r w:rsidRPr="00554E6A">
          <w:rPr>
            <w:rStyle w:val="Hyperlink"/>
            <w:rFonts w:ascii="Arial" w:hAnsi="Arial" w:cs="Arial"/>
            <w:sz w:val="20"/>
            <w:szCs w:val="20"/>
          </w:rPr>
          <w:t xml:space="preserve">indictments against </w:t>
        </w:r>
        <w:proofErr w:type="spellStart"/>
        <w:r w:rsidRPr="00554E6A">
          <w:rPr>
            <w:rStyle w:val="Hyperlink"/>
            <w:rFonts w:ascii="Arial" w:hAnsi="Arial" w:cs="Arial"/>
            <w:sz w:val="20"/>
            <w:szCs w:val="20"/>
          </w:rPr>
          <w:t>Narco</w:t>
        </w:r>
        <w:proofErr w:type="spellEnd"/>
        <w:r w:rsidRPr="00554E6A">
          <w:rPr>
            <w:rStyle w:val="Hyperlink"/>
            <w:rFonts w:ascii="Arial" w:hAnsi="Arial" w:cs="Arial"/>
            <w:sz w:val="20"/>
            <w:szCs w:val="20"/>
          </w:rPr>
          <w:t xml:space="preserve"> Freedom</w:t>
        </w:r>
      </w:hyperlink>
      <w:r w:rsidRPr="007F49B1">
        <w:rPr>
          <w:rFonts w:ascii="Arial" w:hAnsi="Arial" w:cs="Arial"/>
          <w:sz w:val="20"/>
          <w:szCs w:val="20"/>
        </w:rPr>
        <w:t xml:space="preserve">, a substance abuse treatment agency that also runs notorious three-quarter houses. MFY has defended </w:t>
      </w:r>
      <w:r w:rsidR="004738E1" w:rsidRPr="007F49B1">
        <w:rPr>
          <w:rFonts w:ascii="Arial" w:hAnsi="Arial" w:cs="Arial"/>
          <w:sz w:val="20"/>
          <w:szCs w:val="20"/>
        </w:rPr>
        <w:t xml:space="preserve">tenants against </w:t>
      </w:r>
      <w:proofErr w:type="spellStart"/>
      <w:r w:rsidR="00554E6A">
        <w:rPr>
          <w:rFonts w:ascii="Arial" w:hAnsi="Arial" w:cs="Arial"/>
          <w:sz w:val="20"/>
          <w:szCs w:val="20"/>
        </w:rPr>
        <w:t>Narco</w:t>
      </w:r>
      <w:proofErr w:type="spellEnd"/>
      <w:r w:rsidR="00554E6A">
        <w:rPr>
          <w:rFonts w:ascii="Arial" w:hAnsi="Arial" w:cs="Arial"/>
          <w:sz w:val="20"/>
          <w:szCs w:val="20"/>
        </w:rPr>
        <w:t xml:space="preserve"> Freedom in housing court.</w:t>
      </w:r>
      <w:r w:rsidRPr="007F49B1">
        <w:rPr>
          <w:rFonts w:ascii="Arial" w:hAnsi="Arial" w:cs="Arial"/>
          <w:sz w:val="20"/>
          <w:szCs w:val="20"/>
        </w:rPr>
        <w:t xml:space="preserve"> </w:t>
      </w:r>
    </w:p>
    <w:p w:rsidR="008D4D12" w:rsidRDefault="008D4D12" w:rsidP="008D4D12"/>
    <w:p w:rsidR="008D4D12" w:rsidRDefault="008D4D12" w:rsidP="008D4D12">
      <w:pPr>
        <w:rPr>
          <w:rFonts w:ascii="Arial" w:hAnsi="Arial" w:cs="Arial"/>
          <w:color w:val="000000" w:themeColor="text1"/>
          <w:sz w:val="20"/>
          <w:szCs w:val="22"/>
        </w:rPr>
      </w:pPr>
      <w:r>
        <w:rPr>
          <w:rFonts w:ascii="Arial" w:hAnsi="Arial" w:cs="Arial"/>
          <w:color w:val="000000" w:themeColor="text1"/>
          <w:sz w:val="20"/>
          <w:szCs w:val="22"/>
        </w:rPr>
        <w:t xml:space="preserve">On October 21, the </w:t>
      </w:r>
      <w:r>
        <w:rPr>
          <w:rFonts w:ascii="Arial" w:hAnsi="Arial" w:cs="Arial"/>
          <w:b/>
          <w:color w:val="000000" w:themeColor="text1"/>
          <w:sz w:val="20"/>
          <w:szCs w:val="22"/>
        </w:rPr>
        <w:t>Village Voice</w:t>
      </w:r>
      <w:r>
        <w:rPr>
          <w:rFonts w:ascii="Arial" w:hAnsi="Arial" w:cs="Arial"/>
          <w:color w:val="000000" w:themeColor="text1"/>
          <w:sz w:val="20"/>
          <w:szCs w:val="22"/>
        </w:rPr>
        <w:t xml:space="preserve"> did an exposé on bad landlords, focusing on the legal action and community </w:t>
      </w:r>
      <w:hyperlink r:id="rId8" w:history="1">
        <w:r w:rsidRPr="00554E6A">
          <w:rPr>
            <w:rStyle w:val="Hyperlink"/>
            <w:rFonts w:ascii="Arial" w:hAnsi="Arial" w:cs="Arial"/>
            <w:sz w:val="20"/>
            <w:szCs w:val="22"/>
          </w:rPr>
          <w:t>organizing of tenants in Chinatown</w:t>
        </w:r>
      </w:hyperlink>
      <w:r w:rsidR="00554E6A">
        <w:rPr>
          <w:rFonts w:ascii="Arial" w:hAnsi="Arial" w:cs="Arial"/>
          <w:color w:val="000000" w:themeColor="text1"/>
          <w:sz w:val="20"/>
          <w:szCs w:val="22"/>
        </w:rPr>
        <w:t>, led by MFY.</w:t>
      </w:r>
    </w:p>
    <w:p w:rsidR="008D4D12" w:rsidRDefault="008D4D12" w:rsidP="00966B6B">
      <w:pPr>
        <w:rPr>
          <w:rFonts w:ascii="Arial" w:hAnsi="Arial" w:cs="Arial"/>
          <w:color w:val="000000" w:themeColor="text1"/>
          <w:sz w:val="20"/>
          <w:szCs w:val="22"/>
        </w:rPr>
      </w:pPr>
    </w:p>
    <w:p w:rsidR="008D4D12" w:rsidRDefault="008D4D12" w:rsidP="008D4D12">
      <w:r>
        <w:rPr>
          <w:rFonts w:ascii="Arial" w:hAnsi="Arial" w:cs="Arial"/>
          <w:color w:val="000000" w:themeColor="text1"/>
          <w:sz w:val="20"/>
          <w:szCs w:val="22"/>
        </w:rPr>
        <w:t xml:space="preserve">The October 16 issue of </w:t>
      </w:r>
      <w:r>
        <w:rPr>
          <w:rFonts w:ascii="Arial" w:hAnsi="Arial" w:cs="Arial"/>
          <w:b/>
          <w:color w:val="000000" w:themeColor="text1"/>
          <w:sz w:val="20"/>
          <w:szCs w:val="22"/>
        </w:rPr>
        <w:t xml:space="preserve">AM New York </w:t>
      </w:r>
      <w:r>
        <w:rPr>
          <w:rFonts w:ascii="Arial" w:hAnsi="Arial" w:cs="Arial"/>
          <w:color w:val="000000" w:themeColor="text1"/>
          <w:sz w:val="20"/>
          <w:szCs w:val="22"/>
        </w:rPr>
        <w:t xml:space="preserve">featured an article on the </w:t>
      </w:r>
      <w:hyperlink r:id="rId9" w:history="1">
        <w:r w:rsidRPr="00554E6A">
          <w:rPr>
            <w:rStyle w:val="Hyperlink"/>
            <w:rFonts w:ascii="Arial" w:hAnsi="Arial" w:cs="Arial"/>
            <w:sz w:val="20"/>
            <w:szCs w:val="22"/>
          </w:rPr>
          <w:t xml:space="preserve">growing number of </w:t>
        </w:r>
        <w:r w:rsidR="00554E6A" w:rsidRPr="00554E6A">
          <w:rPr>
            <w:rStyle w:val="Hyperlink"/>
            <w:rFonts w:ascii="Arial" w:hAnsi="Arial" w:cs="Arial"/>
            <w:sz w:val="20"/>
            <w:szCs w:val="22"/>
          </w:rPr>
          <w:t>eviction cases</w:t>
        </w:r>
      </w:hyperlink>
      <w:r w:rsidR="00554E6A">
        <w:rPr>
          <w:rFonts w:ascii="Arial" w:hAnsi="Arial" w:cs="Arial"/>
          <w:color w:val="000000" w:themeColor="text1"/>
          <w:sz w:val="20"/>
          <w:szCs w:val="22"/>
        </w:rPr>
        <w:t xml:space="preserve"> in housing court.</w:t>
      </w:r>
      <w:r>
        <w:rPr>
          <w:rFonts w:ascii="Arial" w:hAnsi="Arial" w:cs="Arial"/>
          <w:color w:val="000000" w:themeColor="text1"/>
          <w:sz w:val="20"/>
          <w:szCs w:val="22"/>
        </w:rPr>
        <w:t xml:space="preserve"> </w:t>
      </w:r>
    </w:p>
    <w:p w:rsidR="008D4D12" w:rsidRPr="008D4D12" w:rsidRDefault="008D4D12" w:rsidP="00966B6B">
      <w:pPr>
        <w:rPr>
          <w:rFonts w:ascii="Arial" w:hAnsi="Arial" w:cs="Arial"/>
          <w:color w:val="000000" w:themeColor="text1"/>
          <w:sz w:val="20"/>
          <w:szCs w:val="22"/>
        </w:rPr>
      </w:pPr>
      <w:bookmarkStart w:id="0" w:name="_GoBack"/>
      <w:bookmarkEnd w:id="0"/>
    </w:p>
    <w:sectPr w:rsidR="008D4D12" w:rsidRPr="008D4D12" w:rsidSect="008D4D12">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B6B"/>
    <w:rsid w:val="00057E94"/>
    <w:rsid w:val="00081D25"/>
    <w:rsid w:val="001C09AE"/>
    <w:rsid w:val="004738E1"/>
    <w:rsid w:val="00554E6A"/>
    <w:rsid w:val="007F49B1"/>
    <w:rsid w:val="008D4D12"/>
    <w:rsid w:val="00966B6B"/>
    <w:rsid w:val="00984209"/>
    <w:rsid w:val="00CD2F46"/>
    <w:rsid w:val="00DC0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67653-6DD8-41E8-B4E7-BF07AFE6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4D12"/>
    <w:rPr>
      <w:color w:val="0563C1" w:themeColor="hyperlink"/>
      <w:u w:val="single"/>
    </w:rPr>
  </w:style>
  <w:style w:type="character" w:styleId="FollowedHyperlink">
    <w:name w:val="FollowedHyperlink"/>
    <w:basedOn w:val="DefaultParagraphFont"/>
    <w:uiPriority w:val="99"/>
    <w:semiHidden/>
    <w:unhideWhenUsed/>
    <w:rsid w:val="008D4D12"/>
    <w:rPr>
      <w:color w:val="954F72" w:themeColor="followedHyperlink"/>
      <w:u w:val="single"/>
    </w:rPr>
  </w:style>
  <w:style w:type="paragraph" w:styleId="BalloonText">
    <w:name w:val="Balloon Text"/>
    <w:basedOn w:val="Normal"/>
    <w:link w:val="BalloonTextChar"/>
    <w:uiPriority w:val="99"/>
    <w:semiHidden/>
    <w:unhideWhenUsed/>
    <w:rsid w:val="00057E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E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logs.villagevoice.com/runninscared/2014/10/worst-landlords-2014.php?page=all" TargetMode="External"/><Relationship Id="rId3" Type="http://schemas.openxmlformats.org/officeDocument/2006/relationships/webSettings" Target="webSettings.xml"/><Relationship Id="rId7" Type="http://schemas.openxmlformats.org/officeDocument/2006/relationships/hyperlink" Target="http://america.aljazeera.com/articles/2014/10/27/narco-freedom-soberhomesalanjasonbrand.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yorklawjournal.com/id=1202674744552/Finding-Interpreters-Poses-Challenge-for-State-Courts?mcode=1202615704879" TargetMode="External"/><Relationship Id="rId11" Type="http://schemas.openxmlformats.org/officeDocument/2006/relationships/theme" Target="theme/theme1.xml"/><Relationship Id="rId5" Type="http://schemas.openxmlformats.org/officeDocument/2006/relationships/hyperlink" Target="http://www.mfy.org/wp-content/uploads/NYC-Housing-LEP-Housing-10.29.pdf"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hyperlink" Target="http://www.amny.com/news/more-new-yorkers-turning-to-the-city-for-help-to-stay-housed-1.95134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Schaefer</dc:creator>
  <cp:keywords/>
  <dc:description/>
  <cp:lastModifiedBy>Dolores Schaefer</cp:lastModifiedBy>
  <cp:revision>3</cp:revision>
  <dcterms:created xsi:type="dcterms:W3CDTF">2014-10-29T21:22:00Z</dcterms:created>
  <dcterms:modified xsi:type="dcterms:W3CDTF">2016-08-25T20:44:00Z</dcterms:modified>
</cp:coreProperties>
</file>