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B6B" w:rsidRDefault="00966B6B">
      <w:pPr>
        <w:rPr>
          <w:rFonts w:ascii="Eras Demi ITC" w:hAnsi="Eras Demi ITC"/>
          <w:sz w:val="56"/>
          <w:szCs w:val="56"/>
        </w:rPr>
      </w:pPr>
      <w:r>
        <w:rPr>
          <w:noProof/>
        </w:rPr>
        <w:drawing>
          <wp:anchor distT="0" distB="0" distL="114300" distR="114300" simplePos="0" relativeHeight="251658240" behindDoc="0" locked="0" layoutInCell="1" allowOverlap="1" wp14:anchorId="7601C256" wp14:editId="3C89470B">
            <wp:simplePos x="0" y="0"/>
            <wp:positionH relativeFrom="margin">
              <wp:align>left</wp:align>
            </wp:positionH>
            <wp:positionV relativeFrom="paragraph">
              <wp:posOffset>74930</wp:posOffset>
            </wp:positionV>
            <wp:extent cx="2154803" cy="1606163"/>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itter logo smaller.jpg"/>
                    <pic:cNvPicPr/>
                  </pic:nvPicPr>
                  <pic:blipFill>
                    <a:blip r:embed="rId4">
                      <a:extLst>
                        <a:ext uri="{28A0092B-C50C-407E-A947-70E740481C1C}">
                          <a14:useLocalDpi xmlns:a14="http://schemas.microsoft.com/office/drawing/2010/main" val="0"/>
                        </a:ext>
                      </a:extLst>
                    </a:blip>
                    <a:stretch>
                      <a:fillRect/>
                    </a:stretch>
                  </pic:blipFill>
                  <pic:spPr>
                    <a:xfrm>
                      <a:off x="0" y="0"/>
                      <a:ext cx="2154803" cy="1606163"/>
                    </a:xfrm>
                    <a:prstGeom prst="rect">
                      <a:avLst/>
                    </a:prstGeom>
                  </pic:spPr>
                </pic:pic>
              </a:graphicData>
            </a:graphic>
            <wp14:sizeRelH relativeFrom="page">
              <wp14:pctWidth>0</wp14:pctWidth>
            </wp14:sizeRelH>
            <wp14:sizeRelV relativeFrom="page">
              <wp14:pctHeight>0</wp14:pctHeight>
            </wp14:sizeRelV>
          </wp:anchor>
        </w:drawing>
      </w:r>
    </w:p>
    <w:p w:rsidR="00966B6B" w:rsidRPr="00966B6B" w:rsidRDefault="00966B6B" w:rsidP="00966B6B">
      <w:pPr>
        <w:jc w:val="center"/>
        <w:rPr>
          <w:rFonts w:ascii="Eras Demi ITC" w:hAnsi="Eras Demi ITC"/>
          <w:color w:val="C00000"/>
          <w:sz w:val="14"/>
          <w:szCs w:val="72"/>
        </w:rPr>
      </w:pPr>
    </w:p>
    <w:p w:rsidR="00984209" w:rsidRPr="004738E1" w:rsidRDefault="00966B6B" w:rsidP="00966B6B">
      <w:pPr>
        <w:jc w:val="center"/>
        <w:rPr>
          <w:rFonts w:ascii="Eras Demi ITC" w:hAnsi="Eras Demi ITC"/>
          <w:color w:val="C00000"/>
          <w:sz w:val="72"/>
          <w:szCs w:val="72"/>
        </w:rPr>
      </w:pPr>
      <w:r w:rsidRPr="004738E1">
        <w:rPr>
          <w:rFonts w:ascii="Eras Demi ITC" w:hAnsi="Eras Demi ITC"/>
          <w:color w:val="C00000"/>
          <w:sz w:val="72"/>
          <w:szCs w:val="72"/>
        </w:rPr>
        <w:t>Update</w:t>
      </w:r>
    </w:p>
    <w:p w:rsidR="00966B6B" w:rsidRPr="00CD2F46" w:rsidRDefault="0030482C" w:rsidP="00966B6B">
      <w:pPr>
        <w:jc w:val="center"/>
        <w:rPr>
          <w:rFonts w:ascii="Eras Demi ITC" w:hAnsi="Eras Demi ITC"/>
          <w:color w:val="C00000"/>
          <w:sz w:val="36"/>
          <w:szCs w:val="72"/>
        </w:rPr>
      </w:pPr>
      <w:r>
        <w:rPr>
          <w:rFonts w:ascii="Eras Demi ITC" w:hAnsi="Eras Demi ITC"/>
          <w:color w:val="C00000"/>
          <w:sz w:val="36"/>
          <w:szCs w:val="72"/>
        </w:rPr>
        <w:t>February</w:t>
      </w:r>
      <w:r w:rsidR="0002766A">
        <w:rPr>
          <w:rFonts w:ascii="Eras Demi ITC" w:hAnsi="Eras Demi ITC"/>
          <w:color w:val="C00000"/>
          <w:sz w:val="36"/>
          <w:szCs w:val="72"/>
        </w:rPr>
        <w:t xml:space="preserve"> 2015</w:t>
      </w:r>
    </w:p>
    <w:p w:rsidR="00966B6B" w:rsidRPr="00710AA8" w:rsidRDefault="00966B6B" w:rsidP="00966B6B">
      <w:pPr>
        <w:jc w:val="center"/>
        <w:rPr>
          <w:rFonts w:ascii="Eras Demi ITC" w:hAnsi="Eras Demi ITC"/>
          <w:color w:val="C00000"/>
          <w:szCs w:val="72"/>
        </w:rPr>
      </w:pPr>
    </w:p>
    <w:p w:rsidR="00966B6B" w:rsidRDefault="00966B6B" w:rsidP="00966B6B">
      <w:pPr>
        <w:jc w:val="center"/>
        <w:rPr>
          <w:rFonts w:ascii="Eras Demi ITC" w:hAnsi="Eras Demi ITC"/>
          <w:color w:val="C00000"/>
          <w:sz w:val="44"/>
          <w:szCs w:val="72"/>
        </w:rPr>
      </w:pPr>
    </w:p>
    <w:p w:rsidR="00C46E96" w:rsidRDefault="00C46E96" w:rsidP="00966B6B">
      <w:pPr>
        <w:rPr>
          <w:rFonts w:ascii="Eras Demi ITC" w:hAnsi="Eras Demi ITC"/>
          <w:color w:val="C00000"/>
          <w:sz w:val="32"/>
          <w:szCs w:val="72"/>
        </w:rPr>
      </w:pPr>
    </w:p>
    <w:p w:rsidR="00966B6B" w:rsidRDefault="0030482C" w:rsidP="00966B6B">
      <w:pPr>
        <w:rPr>
          <w:rFonts w:ascii="Eras Demi ITC" w:hAnsi="Eras Demi ITC"/>
          <w:color w:val="C00000"/>
          <w:sz w:val="32"/>
          <w:szCs w:val="72"/>
        </w:rPr>
      </w:pPr>
      <w:r>
        <w:rPr>
          <w:rFonts w:ascii="Eras Demi ITC" w:hAnsi="Eras Demi ITC"/>
          <w:color w:val="C00000"/>
          <w:sz w:val="32"/>
          <w:szCs w:val="72"/>
        </w:rPr>
        <w:t>Recent Successes</w:t>
      </w:r>
      <w:bookmarkStart w:id="0" w:name="_GoBack"/>
      <w:bookmarkEnd w:id="0"/>
    </w:p>
    <w:p w:rsidR="00F763F3" w:rsidRDefault="00F763F3" w:rsidP="00966B6B">
      <w:pPr>
        <w:rPr>
          <w:rFonts w:ascii="Arial" w:hAnsi="Arial" w:cs="Arial"/>
          <w:color w:val="000000" w:themeColor="text1"/>
          <w:sz w:val="20"/>
          <w:szCs w:val="20"/>
        </w:rPr>
      </w:pPr>
    </w:p>
    <w:p w:rsidR="0030482C" w:rsidRPr="0030482C" w:rsidRDefault="0030482C" w:rsidP="0030482C">
      <w:pPr>
        <w:rPr>
          <w:rFonts w:asciiTheme="minorHAnsi" w:hAnsiTheme="minorHAnsi"/>
          <w:b/>
          <w:color w:val="C00000"/>
          <w:szCs w:val="22"/>
        </w:rPr>
      </w:pPr>
      <w:r w:rsidRPr="0030482C">
        <w:rPr>
          <w:rFonts w:asciiTheme="minorHAnsi" w:hAnsiTheme="minorHAnsi"/>
          <w:b/>
          <w:color w:val="C00000"/>
          <w:szCs w:val="22"/>
        </w:rPr>
        <w:t>MFY and Partners Win Class Status in Massive Debt Collection Case</w:t>
      </w:r>
    </w:p>
    <w:p w:rsidR="0030482C" w:rsidRPr="0030482C" w:rsidRDefault="0030482C" w:rsidP="0030482C">
      <w:pPr>
        <w:rPr>
          <w:rFonts w:asciiTheme="minorHAnsi" w:hAnsiTheme="minorHAnsi"/>
          <w:sz w:val="12"/>
          <w:szCs w:val="22"/>
        </w:rPr>
      </w:pPr>
    </w:p>
    <w:p w:rsidR="0030482C" w:rsidRPr="0030482C" w:rsidRDefault="0030482C" w:rsidP="0030482C">
      <w:pPr>
        <w:rPr>
          <w:rFonts w:asciiTheme="minorHAnsi" w:hAnsiTheme="minorHAnsi"/>
          <w:sz w:val="22"/>
          <w:szCs w:val="22"/>
        </w:rPr>
      </w:pPr>
      <w:r w:rsidRPr="0030482C">
        <w:rPr>
          <w:rFonts w:asciiTheme="minorHAnsi" w:hAnsiTheme="minorHAnsi"/>
          <w:sz w:val="22"/>
          <w:szCs w:val="22"/>
        </w:rPr>
        <w:t xml:space="preserve">Tens of thousands of New Yorkers who were never served legal papers in debt collection cases and had default judgments entered against them between 2006 and 2009 will have their day in court. In a suit brought on behalf of debtors by MFY Legal Services, the New Economy Project, and Emery Celli Brinkerhoff &amp; </w:t>
      </w:r>
      <w:proofErr w:type="spellStart"/>
      <w:r w:rsidRPr="0030482C">
        <w:rPr>
          <w:rFonts w:asciiTheme="minorHAnsi" w:hAnsiTheme="minorHAnsi"/>
          <w:sz w:val="22"/>
          <w:szCs w:val="22"/>
        </w:rPr>
        <w:t>Abady</w:t>
      </w:r>
      <w:proofErr w:type="spellEnd"/>
      <w:r w:rsidRPr="0030482C">
        <w:rPr>
          <w:rFonts w:asciiTheme="minorHAnsi" w:hAnsiTheme="minorHAnsi"/>
          <w:sz w:val="22"/>
          <w:szCs w:val="22"/>
        </w:rPr>
        <w:t xml:space="preserve"> LLP, the U.S. Court of Appeals for the 2</w:t>
      </w:r>
      <w:r w:rsidRPr="0030482C">
        <w:rPr>
          <w:rFonts w:asciiTheme="minorHAnsi" w:hAnsiTheme="minorHAnsi"/>
          <w:sz w:val="22"/>
          <w:szCs w:val="22"/>
          <w:vertAlign w:val="superscript"/>
        </w:rPr>
        <w:t>nd</w:t>
      </w:r>
      <w:r w:rsidRPr="0030482C">
        <w:rPr>
          <w:rFonts w:asciiTheme="minorHAnsi" w:hAnsiTheme="minorHAnsi"/>
          <w:sz w:val="22"/>
          <w:szCs w:val="22"/>
        </w:rPr>
        <w:t xml:space="preserve"> Circuit ruled on February 10, 2015 that the lower court was right to certify classes in cases alleging the widespread practice of “sewer service” in a scheme by a debt-buying company, a law firm and a process serving agency. </w:t>
      </w:r>
      <w:hyperlink r:id="rId5" w:history="1">
        <w:r w:rsidRPr="0030482C">
          <w:rPr>
            <w:rStyle w:val="Hyperlink"/>
            <w:rFonts w:asciiTheme="minorHAnsi" w:hAnsiTheme="minorHAnsi"/>
            <w:sz w:val="22"/>
            <w:szCs w:val="22"/>
          </w:rPr>
          <w:t xml:space="preserve">Read the decision </w:t>
        </w:r>
        <w:r w:rsidRPr="0030482C">
          <w:rPr>
            <w:rStyle w:val="Hyperlink"/>
            <w:rFonts w:asciiTheme="minorHAnsi" w:hAnsiTheme="minorHAnsi"/>
            <w:sz w:val="22"/>
            <w:szCs w:val="22"/>
          </w:rPr>
          <w:t>h</w:t>
        </w:r>
        <w:r w:rsidRPr="0030482C">
          <w:rPr>
            <w:rStyle w:val="Hyperlink"/>
            <w:rFonts w:asciiTheme="minorHAnsi" w:hAnsiTheme="minorHAnsi"/>
            <w:sz w:val="22"/>
            <w:szCs w:val="22"/>
          </w:rPr>
          <w:t>ere.</w:t>
        </w:r>
      </w:hyperlink>
    </w:p>
    <w:p w:rsidR="00C46E96" w:rsidRDefault="00C46E96" w:rsidP="00966B6B">
      <w:pPr>
        <w:rPr>
          <w:rFonts w:ascii="Arial" w:hAnsi="Arial" w:cs="Arial"/>
          <w:color w:val="000000" w:themeColor="text1"/>
          <w:sz w:val="20"/>
          <w:szCs w:val="22"/>
        </w:rPr>
      </w:pPr>
    </w:p>
    <w:p w:rsidR="0030482C" w:rsidRPr="0030482C" w:rsidRDefault="0030482C" w:rsidP="0030482C">
      <w:pPr>
        <w:pStyle w:val="Heading1"/>
        <w:rPr>
          <w:rFonts w:asciiTheme="minorHAnsi" w:hAnsiTheme="minorHAnsi"/>
          <w:color w:val="C00000"/>
          <w:sz w:val="24"/>
          <w:szCs w:val="22"/>
        </w:rPr>
      </w:pPr>
      <w:r w:rsidRPr="0030482C">
        <w:rPr>
          <w:rFonts w:asciiTheme="minorHAnsi" w:hAnsiTheme="minorHAnsi"/>
          <w:noProof/>
          <w:color w:val="C00000"/>
          <w:sz w:val="24"/>
          <w:szCs w:val="22"/>
        </w:rPr>
        <w:drawing>
          <wp:anchor distT="0" distB="0" distL="114300" distR="114300" simplePos="0" relativeHeight="251660288" behindDoc="0" locked="0" layoutInCell="1" allowOverlap="1" wp14:anchorId="1A363B15" wp14:editId="2D854795">
            <wp:simplePos x="0" y="0"/>
            <wp:positionH relativeFrom="margin">
              <wp:posOffset>-635</wp:posOffset>
            </wp:positionH>
            <wp:positionV relativeFrom="paragraph">
              <wp:posOffset>215265</wp:posOffset>
            </wp:positionV>
            <wp:extent cx="1821180" cy="2352675"/>
            <wp:effectExtent l="0" t="0" r="762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 we go cover copy.jpg"/>
                    <pic:cNvPicPr/>
                  </pic:nvPicPr>
                  <pic:blipFill>
                    <a:blip r:embed="rId6">
                      <a:extLst>
                        <a:ext uri="{28A0092B-C50C-407E-A947-70E740481C1C}">
                          <a14:useLocalDpi xmlns:a14="http://schemas.microsoft.com/office/drawing/2010/main" val="0"/>
                        </a:ext>
                      </a:extLst>
                    </a:blip>
                    <a:stretch>
                      <a:fillRect/>
                    </a:stretch>
                  </pic:blipFill>
                  <pic:spPr>
                    <a:xfrm>
                      <a:off x="0" y="0"/>
                      <a:ext cx="1821180" cy="2352675"/>
                    </a:xfrm>
                    <a:prstGeom prst="rect">
                      <a:avLst/>
                    </a:prstGeom>
                  </pic:spPr>
                </pic:pic>
              </a:graphicData>
            </a:graphic>
            <wp14:sizeRelH relativeFrom="page">
              <wp14:pctWidth>0</wp14:pctWidth>
            </wp14:sizeRelH>
            <wp14:sizeRelV relativeFrom="page">
              <wp14:pctHeight>0</wp14:pctHeight>
            </wp14:sizeRelV>
          </wp:anchor>
        </w:drawing>
      </w:r>
      <w:hyperlink r:id="rId7" w:tooltip="Permalink to MFY-ACLU Report: Lender Abuses and Feeble Enforcement Cause Minority Homeowners to Lose Homes" w:history="1">
        <w:r w:rsidRPr="0030482C">
          <w:rPr>
            <w:rStyle w:val="Hyperlink"/>
            <w:rFonts w:asciiTheme="minorHAnsi" w:hAnsiTheme="minorHAnsi"/>
            <w:color w:val="C00000"/>
            <w:sz w:val="24"/>
            <w:szCs w:val="22"/>
            <w:u w:val="none"/>
          </w:rPr>
          <w:t>MFY-ACLU Report: Lender Abuses and Feeble Enforcement Cause Minority Homeowners to Lose Homes</w:t>
        </w:r>
      </w:hyperlink>
    </w:p>
    <w:p w:rsidR="0030482C" w:rsidRPr="00A506C2" w:rsidRDefault="0030482C" w:rsidP="0030482C">
      <w:pPr>
        <w:pStyle w:val="NormalWeb"/>
        <w:rPr>
          <w:rFonts w:asciiTheme="minorHAnsi" w:hAnsiTheme="minorHAnsi"/>
          <w:color w:val="000000" w:themeColor="text1"/>
          <w:sz w:val="22"/>
          <w:szCs w:val="22"/>
        </w:rPr>
      </w:pPr>
      <w:r>
        <w:rPr>
          <w:rFonts w:asciiTheme="minorHAnsi" w:hAnsiTheme="minorHAnsi"/>
          <w:sz w:val="22"/>
          <w:szCs w:val="22"/>
        </w:rPr>
        <w:t xml:space="preserve">In a new report, </w:t>
      </w:r>
      <w:hyperlink r:id="rId8" w:history="1">
        <w:r w:rsidRPr="00A506C2">
          <w:rPr>
            <w:rStyle w:val="Hyperlink"/>
            <w:rFonts w:asciiTheme="minorHAnsi" w:hAnsiTheme="minorHAnsi"/>
            <w:i/>
            <w:iCs/>
            <w:sz w:val="22"/>
            <w:szCs w:val="22"/>
          </w:rPr>
          <w:t>Here We Go Again: Communities of Color, the Foreclosure Crisis, and Loan Servicing Failures,</w:t>
        </w:r>
      </w:hyperlink>
      <w:r w:rsidRPr="00A506C2">
        <w:rPr>
          <w:rFonts w:asciiTheme="minorHAnsi" w:hAnsiTheme="minorHAnsi"/>
          <w:i/>
          <w:iCs/>
          <w:color w:val="000000" w:themeColor="text1"/>
          <w:sz w:val="22"/>
          <w:szCs w:val="22"/>
        </w:rPr>
        <w:t xml:space="preserve"> </w:t>
      </w:r>
      <w:r w:rsidRPr="00A506C2">
        <w:rPr>
          <w:rFonts w:asciiTheme="minorHAnsi" w:hAnsiTheme="minorHAnsi"/>
          <w:color w:val="000000" w:themeColor="text1"/>
          <w:sz w:val="22"/>
          <w:szCs w:val="22"/>
        </w:rPr>
        <w:t xml:space="preserve">MFY Legal Services (MFY) and the American Civil Liberties Union (ACLU) show that New York State </w:t>
      </w:r>
      <w:hyperlink r:id="rId9" w:history="1">
        <w:r w:rsidRPr="00A506C2">
          <w:rPr>
            <w:rStyle w:val="Hyperlink"/>
            <w:rFonts w:asciiTheme="minorHAnsi" w:hAnsiTheme="minorHAnsi"/>
            <w:color w:val="000000" w:themeColor="text1"/>
            <w:sz w:val="22"/>
            <w:szCs w:val="22"/>
            <w:u w:val="none"/>
          </w:rPr>
          <w:t xml:space="preserve">communities of color are unnecessarily bearing the brunt </w:t>
        </w:r>
      </w:hyperlink>
      <w:r w:rsidRPr="00A506C2">
        <w:rPr>
          <w:rFonts w:asciiTheme="minorHAnsi" w:hAnsiTheme="minorHAnsi"/>
          <w:color w:val="000000" w:themeColor="text1"/>
          <w:sz w:val="22"/>
          <w:szCs w:val="22"/>
        </w:rPr>
        <w:t>of loan servicers’ modification failure, with no effective regulatory response from the government. The report, the first to analyze narrative data from the Consumer Financial Protection Bureau, demonstrates that regulatory authorities have failed to enforce fair lending laws and have not examined their own data to see if communities of color are benefitting equally from government loan modification programs.</w:t>
      </w:r>
    </w:p>
    <w:p w:rsidR="0030482C" w:rsidRDefault="0030482C" w:rsidP="008255CC">
      <w:pPr>
        <w:rPr>
          <w:rFonts w:ascii="Arial" w:hAnsi="Arial" w:cs="Arial"/>
          <w:color w:val="000000" w:themeColor="text1"/>
          <w:sz w:val="20"/>
          <w:szCs w:val="20"/>
        </w:rPr>
      </w:pPr>
    </w:p>
    <w:p w:rsidR="009E6C01" w:rsidRDefault="009E6C01" w:rsidP="00966B6B">
      <w:pPr>
        <w:rPr>
          <w:rFonts w:ascii="Eras Demi ITC" w:hAnsi="Eras Demi ITC"/>
          <w:color w:val="C00000"/>
          <w:sz w:val="32"/>
          <w:szCs w:val="72"/>
        </w:rPr>
      </w:pPr>
      <w:r>
        <w:rPr>
          <w:rFonts w:ascii="Eras Demi ITC" w:hAnsi="Eras Demi ITC"/>
          <w:color w:val="C00000"/>
          <w:sz w:val="32"/>
          <w:szCs w:val="72"/>
        </w:rPr>
        <w:t>MFY in the News . . .</w:t>
      </w:r>
    </w:p>
    <w:p w:rsidR="001F079C" w:rsidRDefault="001F079C" w:rsidP="001F079C"/>
    <w:p w:rsidR="0030482C" w:rsidRPr="00A506C2" w:rsidRDefault="0030482C" w:rsidP="0030482C">
      <w:pPr>
        <w:rPr>
          <w:rFonts w:asciiTheme="minorHAnsi" w:hAnsiTheme="minorHAnsi"/>
          <w:sz w:val="22"/>
          <w:szCs w:val="22"/>
        </w:rPr>
      </w:pPr>
      <w:r w:rsidRPr="00A506C2">
        <w:rPr>
          <w:rFonts w:asciiTheme="minorHAnsi" w:hAnsiTheme="minorHAnsi"/>
          <w:sz w:val="22"/>
          <w:szCs w:val="22"/>
        </w:rPr>
        <w:t xml:space="preserve">The </w:t>
      </w:r>
      <w:hyperlink r:id="rId10" w:history="1">
        <w:r w:rsidRPr="00A506C2">
          <w:rPr>
            <w:rStyle w:val="Hyperlink"/>
            <w:rFonts w:asciiTheme="minorHAnsi" w:hAnsiTheme="minorHAnsi"/>
            <w:sz w:val="22"/>
            <w:szCs w:val="22"/>
          </w:rPr>
          <w:t>New York Law Journal</w:t>
        </w:r>
      </w:hyperlink>
      <w:r w:rsidRPr="00A506C2">
        <w:rPr>
          <w:rFonts w:asciiTheme="minorHAnsi" w:hAnsiTheme="minorHAnsi"/>
          <w:sz w:val="22"/>
          <w:szCs w:val="22"/>
        </w:rPr>
        <w:t xml:space="preserve"> reports on the Second Circuit’s decision to uphold class certification in MFY’s massive debt collection lawsuit.</w:t>
      </w:r>
    </w:p>
    <w:p w:rsidR="0030482C" w:rsidRPr="00A506C2" w:rsidRDefault="0030482C" w:rsidP="0030482C">
      <w:pPr>
        <w:rPr>
          <w:rFonts w:asciiTheme="minorHAnsi" w:hAnsiTheme="minorHAnsi"/>
          <w:sz w:val="22"/>
          <w:szCs w:val="22"/>
        </w:rPr>
      </w:pPr>
    </w:p>
    <w:p w:rsidR="0030482C" w:rsidRPr="00A506C2" w:rsidRDefault="0030482C" w:rsidP="0030482C">
      <w:pPr>
        <w:rPr>
          <w:rFonts w:asciiTheme="minorHAnsi" w:hAnsiTheme="minorHAnsi"/>
          <w:sz w:val="22"/>
          <w:szCs w:val="22"/>
        </w:rPr>
      </w:pPr>
      <w:r w:rsidRPr="00A506C2">
        <w:rPr>
          <w:rFonts w:asciiTheme="minorHAnsi" w:hAnsiTheme="minorHAnsi"/>
          <w:sz w:val="22"/>
          <w:szCs w:val="22"/>
        </w:rPr>
        <w:t xml:space="preserve">The </w:t>
      </w:r>
      <w:hyperlink r:id="rId11" w:history="1">
        <w:r w:rsidRPr="00A506C2">
          <w:rPr>
            <w:rStyle w:val="Hyperlink"/>
            <w:rFonts w:asciiTheme="minorHAnsi" w:hAnsiTheme="minorHAnsi"/>
            <w:sz w:val="22"/>
            <w:szCs w:val="22"/>
          </w:rPr>
          <w:t>Brooklyn Eagle</w:t>
        </w:r>
      </w:hyperlink>
      <w:r w:rsidRPr="00A506C2">
        <w:rPr>
          <w:rFonts w:asciiTheme="minorHAnsi" w:hAnsiTheme="minorHAnsi"/>
          <w:sz w:val="22"/>
          <w:szCs w:val="22"/>
        </w:rPr>
        <w:t xml:space="preserve"> reports on delays in </w:t>
      </w:r>
      <w:r>
        <w:rPr>
          <w:rFonts w:asciiTheme="minorHAnsi" w:hAnsiTheme="minorHAnsi"/>
          <w:sz w:val="22"/>
          <w:szCs w:val="22"/>
        </w:rPr>
        <w:t>an ongoing</w:t>
      </w:r>
      <w:r w:rsidRPr="00A506C2">
        <w:rPr>
          <w:rFonts w:asciiTheme="minorHAnsi" w:hAnsiTheme="minorHAnsi"/>
          <w:sz w:val="22"/>
          <w:szCs w:val="22"/>
        </w:rPr>
        <w:t xml:space="preserve"> case to save the tenancies of elderly residents at the Pros</w:t>
      </w:r>
      <w:r>
        <w:rPr>
          <w:rFonts w:asciiTheme="minorHAnsi" w:hAnsiTheme="minorHAnsi"/>
          <w:sz w:val="22"/>
          <w:szCs w:val="22"/>
        </w:rPr>
        <w:t>pect Park Residence in Brooklyn as the situation in the facility deteriorates.</w:t>
      </w:r>
    </w:p>
    <w:p w:rsidR="0030482C" w:rsidRPr="00A506C2" w:rsidRDefault="0030482C" w:rsidP="0030482C">
      <w:pPr>
        <w:rPr>
          <w:rFonts w:asciiTheme="minorHAnsi" w:hAnsiTheme="minorHAnsi"/>
          <w:sz w:val="22"/>
          <w:szCs w:val="22"/>
        </w:rPr>
      </w:pPr>
    </w:p>
    <w:p w:rsidR="0030482C" w:rsidRPr="00A506C2" w:rsidRDefault="0030482C" w:rsidP="0030482C">
      <w:pPr>
        <w:rPr>
          <w:rFonts w:asciiTheme="minorHAnsi" w:hAnsiTheme="minorHAnsi"/>
          <w:sz w:val="22"/>
          <w:szCs w:val="22"/>
        </w:rPr>
      </w:pPr>
      <w:hyperlink r:id="rId12" w:history="1">
        <w:r w:rsidRPr="00A506C2">
          <w:rPr>
            <w:rStyle w:val="Hyperlink"/>
            <w:rFonts w:asciiTheme="minorHAnsi" w:hAnsiTheme="minorHAnsi"/>
            <w:sz w:val="22"/>
            <w:szCs w:val="22"/>
          </w:rPr>
          <w:t>The Wave</w:t>
        </w:r>
      </w:hyperlink>
      <w:r w:rsidRPr="00A506C2">
        <w:rPr>
          <w:rFonts w:asciiTheme="minorHAnsi" w:hAnsiTheme="minorHAnsi"/>
          <w:sz w:val="22"/>
          <w:szCs w:val="22"/>
        </w:rPr>
        <w:t>, a local newspaper in Rockaway, reports on residents’ attempts – with MFY’s help – to appeal FEMA’s insistence that residents return money they had been granted after losi</w:t>
      </w:r>
      <w:r>
        <w:rPr>
          <w:rFonts w:asciiTheme="minorHAnsi" w:hAnsiTheme="minorHAnsi"/>
          <w:sz w:val="22"/>
          <w:szCs w:val="22"/>
        </w:rPr>
        <w:t xml:space="preserve">ng their housing and belongings during </w:t>
      </w:r>
      <w:proofErr w:type="spellStart"/>
      <w:r>
        <w:rPr>
          <w:rFonts w:asciiTheme="minorHAnsi" w:hAnsiTheme="minorHAnsi"/>
          <w:sz w:val="22"/>
          <w:szCs w:val="22"/>
        </w:rPr>
        <w:t>Superstorm</w:t>
      </w:r>
      <w:proofErr w:type="spellEnd"/>
      <w:r>
        <w:rPr>
          <w:rFonts w:asciiTheme="minorHAnsi" w:hAnsiTheme="minorHAnsi"/>
          <w:sz w:val="22"/>
          <w:szCs w:val="22"/>
        </w:rPr>
        <w:t xml:space="preserve"> Sandy.</w:t>
      </w:r>
    </w:p>
    <w:p w:rsidR="009E6C01" w:rsidRPr="00C46E96" w:rsidRDefault="009E6C01" w:rsidP="001F079C">
      <w:pPr>
        <w:rPr>
          <w:rFonts w:ascii="Arial" w:hAnsi="Arial" w:cs="Arial"/>
          <w:color w:val="C00000"/>
          <w:sz w:val="20"/>
          <w:szCs w:val="20"/>
        </w:rPr>
      </w:pPr>
    </w:p>
    <w:sectPr w:rsidR="009E6C01" w:rsidRPr="00C46E96" w:rsidSect="008D4D12">
      <w:pgSz w:w="12240" w:h="15840"/>
      <w:pgMar w:top="864"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Eras Demi ITC">
    <w:panose1 w:val="020B0805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B6B"/>
    <w:rsid w:val="0002766A"/>
    <w:rsid w:val="00057E94"/>
    <w:rsid w:val="00081D25"/>
    <w:rsid w:val="000B27C8"/>
    <w:rsid w:val="000D585D"/>
    <w:rsid w:val="001314E9"/>
    <w:rsid w:val="001C09AE"/>
    <w:rsid w:val="001F079C"/>
    <w:rsid w:val="00215614"/>
    <w:rsid w:val="0030482C"/>
    <w:rsid w:val="00370907"/>
    <w:rsid w:val="003946A8"/>
    <w:rsid w:val="00431BF7"/>
    <w:rsid w:val="004738E1"/>
    <w:rsid w:val="004869B5"/>
    <w:rsid w:val="004960D8"/>
    <w:rsid w:val="005109C9"/>
    <w:rsid w:val="005371F4"/>
    <w:rsid w:val="006B62EE"/>
    <w:rsid w:val="00710AA8"/>
    <w:rsid w:val="007F49B1"/>
    <w:rsid w:val="008255CC"/>
    <w:rsid w:val="008D4D12"/>
    <w:rsid w:val="00966B6B"/>
    <w:rsid w:val="00984209"/>
    <w:rsid w:val="009A738C"/>
    <w:rsid w:val="009E6C01"/>
    <w:rsid w:val="00AA7C4A"/>
    <w:rsid w:val="00B0676F"/>
    <w:rsid w:val="00C46E96"/>
    <w:rsid w:val="00CD2F46"/>
    <w:rsid w:val="00CE226C"/>
    <w:rsid w:val="00DF3231"/>
    <w:rsid w:val="00E40273"/>
    <w:rsid w:val="00E733C1"/>
    <w:rsid w:val="00F76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2983C7-D577-4BD7-88FB-B14E99EC3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HAnsi" w:hAnsi="Garamond"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0482C"/>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4D12"/>
    <w:rPr>
      <w:color w:val="0563C1" w:themeColor="hyperlink"/>
      <w:u w:val="single"/>
    </w:rPr>
  </w:style>
  <w:style w:type="character" w:styleId="FollowedHyperlink">
    <w:name w:val="FollowedHyperlink"/>
    <w:basedOn w:val="DefaultParagraphFont"/>
    <w:uiPriority w:val="99"/>
    <w:semiHidden/>
    <w:unhideWhenUsed/>
    <w:rsid w:val="008D4D12"/>
    <w:rPr>
      <w:color w:val="954F72" w:themeColor="followedHyperlink"/>
      <w:u w:val="single"/>
    </w:rPr>
  </w:style>
  <w:style w:type="paragraph" w:styleId="BalloonText">
    <w:name w:val="Balloon Text"/>
    <w:basedOn w:val="Normal"/>
    <w:link w:val="BalloonTextChar"/>
    <w:uiPriority w:val="99"/>
    <w:semiHidden/>
    <w:unhideWhenUsed/>
    <w:rsid w:val="00057E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E94"/>
    <w:rPr>
      <w:rFonts w:ascii="Segoe UI" w:hAnsi="Segoe UI" w:cs="Segoe UI"/>
      <w:sz w:val="18"/>
      <w:szCs w:val="18"/>
    </w:rPr>
  </w:style>
  <w:style w:type="character" w:customStyle="1" w:styleId="Heading1Char">
    <w:name w:val="Heading 1 Char"/>
    <w:basedOn w:val="DefaultParagraphFont"/>
    <w:link w:val="Heading1"/>
    <w:uiPriority w:val="9"/>
    <w:rsid w:val="0030482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30482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lu.org/racial-justice/here-we-go-again-communities-color-foreclosure-crisis-and-loan-servicing-failures"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mfy.org/news-and-press/mfy-aclu-report-lender-abuses-and-feeble-enforcement-cause-minority-homeowners-to-lose-homes/" TargetMode="External"/><Relationship Id="rId12" Type="http://schemas.openxmlformats.org/officeDocument/2006/relationships/hyperlink" Target="http://www.rockawave.com/news/2015-02-27/Community/Locals_May_Beat_FEMA_Clawback.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www.brooklyneagle.com/articles/2015/1/30/hearing-vs-owner-prospect-park-residence-postponed-after-death-two-seniors" TargetMode="External"/><Relationship Id="rId5" Type="http://schemas.openxmlformats.org/officeDocument/2006/relationships/hyperlink" Target="http://www.mfy.org/wp-content/uploads/Sykes-Opinion.pdf" TargetMode="External"/><Relationship Id="rId10" Type="http://schemas.openxmlformats.org/officeDocument/2006/relationships/hyperlink" Target="http://www.newyorklawjournal.com/home/id=1202717567742?kw=Circuit%20Upholds%20Class%20Status%20of%20Debt%20Service%20Challenge&amp;et=editorial&amp;bu=New%20York%20Law%20Journal&amp;cn=20150211&amp;src=EMC-Email&amp;pt=Daily%20News&amp;slreturn=20150127153333" TargetMode="External"/><Relationship Id="rId4" Type="http://schemas.openxmlformats.org/officeDocument/2006/relationships/image" Target="media/image1.jpg"/><Relationship Id="rId9" Type="http://schemas.openxmlformats.org/officeDocument/2006/relationships/hyperlink" Target="http://www.mfy.org/wp-content/uploads/Here-We-Go-Again-Press-FINAL-2-24-15.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468</Words>
  <Characters>2669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Dolores Schaefer</dc:creator>
  <cp:keywords/>
  <dc:description/>
  <cp:lastModifiedBy>Dolores Schaefer</cp:lastModifiedBy>
  <cp:revision>3</cp:revision>
  <dcterms:created xsi:type="dcterms:W3CDTF">2015-02-27T21:11:00Z</dcterms:created>
  <dcterms:modified xsi:type="dcterms:W3CDTF">2015-02-27T21:20:00Z</dcterms:modified>
</cp:coreProperties>
</file>